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insoku w:val="0"/>
        <w:overflowPunct w:val="0"/>
        <w:spacing w:before="0" w:line="20" w:lineRule="exact"/>
        <w:ind w:left="289"/>
        <w:rPr>
          <w:rFonts w:asciiTheme="majorEastAsia" w:hAnsiTheme="majorEastAsia" w:eastAsiaTheme="majorEastAsia"/>
          <w:color w:val="auto"/>
          <w:sz w:val="2"/>
          <w:szCs w:val="2"/>
        </w:rPr>
      </w:pPr>
    </w:p>
    <w:p>
      <w:pPr>
        <w:pStyle w:val="26"/>
        <w:spacing w:line="700" w:lineRule="exact"/>
        <w:ind w:right="105" w:rightChars="50"/>
        <w:jc w:val="center"/>
        <w:rPr>
          <w:rFonts w:asciiTheme="majorEastAsia" w:hAnsiTheme="majorEastAsia" w:eastAsiaTheme="majorEastAsia"/>
          <w:b/>
          <w:color w:val="auto"/>
          <w:sz w:val="50"/>
        </w:rPr>
      </w:pPr>
    </w:p>
    <w:p>
      <w:pPr>
        <w:pStyle w:val="26"/>
        <w:spacing w:line="700" w:lineRule="exact"/>
        <w:ind w:right="105" w:rightChars="50"/>
        <w:jc w:val="center"/>
        <w:rPr>
          <w:rFonts w:asciiTheme="majorEastAsia" w:hAnsiTheme="majorEastAsia" w:eastAsiaTheme="majorEastAsia"/>
          <w:b/>
          <w:color w:val="auto"/>
          <w:sz w:val="50"/>
        </w:rPr>
      </w:pPr>
    </w:p>
    <w:p>
      <w:pPr>
        <w:pStyle w:val="26"/>
        <w:spacing w:line="700" w:lineRule="exact"/>
        <w:ind w:right="105" w:rightChars="50"/>
        <w:jc w:val="center"/>
        <w:rPr>
          <w:rFonts w:asciiTheme="majorEastAsia" w:hAnsiTheme="majorEastAsia" w:eastAsiaTheme="majorEastAsia"/>
          <w:color w:val="auto"/>
          <w:sz w:val="20"/>
          <w:szCs w:val="20"/>
        </w:rPr>
      </w:pPr>
      <w:r>
        <w:rPr>
          <w:rFonts w:hint="eastAsia" w:asciiTheme="majorEastAsia" w:hAnsiTheme="majorEastAsia" w:eastAsiaTheme="majorEastAsia"/>
          <w:b/>
          <w:color w:val="auto"/>
          <w:sz w:val="50"/>
        </w:rPr>
        <w:t>国网</w:t>
      </w:r>
      <w:r>
        <w:rPr>
          <w:rFonts w:hint="eastAsia" w:cs="宋体" w:asciiTheme="majorEastAsia" w:hAnsiTheme="majorEastAsia" w:eastAsiaTheme="majorEastAsia"/>
          <w:b/>
          <w:color w:val="auto"/>
          <w:sz w:val="50"/>
        </w:rPr>
        <w:t>淮北供电公司</w:t>
      </w:r>
    </w:p>
    <w:p>
      <w:pPr>
        <w:pStyle w:val="6"/>
        <w:kinsoku w:val="0"/>
        <w:overflowPunct w:val="0"/>
        <w:spacing w:before="0"/>
        <w:ind w:left="0"/>
        <w:rPr>
          <w:rFonts w:asciiTheme="majorEastAsia" w:hAnsiTheme="majorEastAsia" w:eastAsiaTheme="majorEastAsia"/>
          <w:color w:val="auto"/>
          <w:sz w:val="20"/>
          <w:szCs w:val="20"/>
        </w:rPr>
      </w:pPr>
    </w:p>
    <w:p>
      <w:pPr>
        <w:pStyle w:val="6"/>
        <w:kinsoku w:val="0"/>
        <w:overflowPunct w:val="0"/>
        <w:spacing w:before="0"/>
        <w:ind w:left="0"/>
        <w:rPr>
          <w:rFonts w:asciiTheme="majorEastAsia" w:hAnsiTheme="majorEastAsia" w:eastAsiaTheme="majorEastAsia"/>
          <w:color w:val="auto"/>
          <w:sz w:val="20"/>
          <w:szCs w:val="20"/>
        </w:rPr>
      </w:pPr>
    </w:p>
    <w:p>
      <w:pPr>
        <w:pStyle w:val="26"/>
        <w:spacing w:line="700" w:lineRule="exact"/>
        <w:ind w:right="105" w:rightChars="50"/>
        <w:jc w:val="center"/>
        <w:rPr>
          <w:rFonts w:asciiTheme="majorEastAsia" w:hAnsiTheme="majorEastAsia" w:eastAsiaTheme="majorEastAsia"/>
          <w:b/>
          <w:color w:val="auto"/>
          <w:sz w:val="50"/>
        </w:rPr>
      </w:pPr>
      <w:r>
        <w:rPr>
          <w:rFonts w:hint="eastAsia" w:asciiTheme="majorEastAsia" w:hAnsiTheme="majorEastAsia" w:eastAsiaTheme="majorEastAsia"/>
          <w:b/>
          <w:color w:val="auto"/>
          <w:sz w:val="50"/>
          <w:lang w:eastAsia="zh-CN"/>
        </w:rPr>
        <w:t>超早期火灾预警在电力系统中应用的研究</w:t>
      </w:r>
      <w:r>
        <w:rPr>
          <w:rFonts w:hint="eastAsia" w:asciiTheme="majorEastAsia" w:hAnsiTheme="majorEastAsia" w:eastAsiaTheme="majorEastAsia"/>
          <w:b/>
          <w:color w:val="auto"/>
          <w:sz w:val="50"/>
        </w:rPr>
        <w:t>技术规范</w:t>
      </w:r>
    </w:p>
    <w:p>
      <w:pPr>
        <w:pStyle w:val="6"/>
        <w:kinsoku w:val="0"/>
        <w:overflowPunct w:val="0"/>
        <w:spacing w:before="6"/>
        <w:ind w:left="0"/>
        <w:rPr>
          <w:rFonts w:cs="黑体" w:asciiTheme="majorEastAsia" w:hAnsiTheme="majorEastAsia" w:eastAsiaTheme="majorEastAsia"/>
          <w:color w:val="auto"/>
          <w:sz w:val="36"/>
          <w:szCs w:val="36"/>
        </w:rPr>
      </w:pPr>
    </w:p>
    <w:p>
      <w:pPr>
        <w:pStyle w:val="6"/>
        <w:tabs>
          <w:tab w:val="left" w:pos="6882"/>
        </w:tabs>
        <w:kinsoku w:val="0"/>
        <w:overflowPunct w:val="0"/>
        <w:spacing w:before="0"/>
        <w:ind w:left="3253"/>
        <w:rPr>
          <w:rFonts w:cs="黑体" w:asciiTheme="majorEastAsia" w:hAnsiTheme="majorEastAsia" w:eastAsiaTheme="majorEastAsia"/>
          <w:color w:val="auto"/>
          <w:w w:val="115"/>
          <w:sz w:val="28"/>
          <w:szCs w:val="28"/>
        </w:rPr>
      </w:pPr>
    </w:p>
    <w:p>
      <w:pPr>
        <w:pStyle w:val="6"/>
        <w:tabs>
          <w:tab w:val="left" w:pos="6882"/>
        </w:tabs>
        <w:kinsoku w:val="0"/>
        <w:overflowPunct w:val="0"/>
        <w:spacing w:before="0"/>
        <w:ind w:left="3253"/>
        <w:rPr>
          <w:rFonts w:cs="黑体" w:asciiTheme="majorEastAsia" w:hAnsiTheme="majorEastAsia" w:eastAsiaTheme="majorEastAsia"/>
          <w:color w:val="auto"/>
          <w:w w:val="115"/>
          <w:sz w:val="28"/>
          <w:szCs w:val="28"/>
        </w:rPr>
      </w:pPr>
    </w:p>
    <w:p>
      <w:pPr>
        <w:spacing w:beforeLines="100"/>
        <w:rPr>
          <w:rFonts w:asciiTheme="majorEastAsia" w:hAnsiTheme="majorEastAsia" w:eastAsiaTheme="majorEastAsia"/>
          <w:color w:val="auto"/>
          <w:sz w:val="72"/>
        </w:rPr>
      </w:pPr>
    </w:p>
    <w:p>
      <w:pPr>
        <w:spacing w:beforeLines="100"/>
        <w:jc w:val="center"/>
        <w:rPr>
          <w:rFonts w:asciiTheme="majorEastAsia" w:hAnsiTheme="majorEastAsia" w:eastAsiaTheme="majorEastAsia"/>
          <w:color w:val="auto"/>
          <w:sz w:val="32"/>
        </w:rPr>
      </w:pPr>
    </w:p>
    <w:p>
      <w:pPr>
        <w:pStyle w:val="26"/>
        <w:spacing w:line="700" w:lineRule="exact"/>
        <w:ind w:right="105" w:rightChars="50"/>
        <w:jc w:val="center"/>
        <w:rPr>
          <w:rFonts w:cs="宋体" w:asciiTheme="majorEastAsia" w:hAnsiTheme="majorEastAsia" w:eastAsiaTheme="majorEastAsia"/>
          <w:b/>
          <w:color w:val="auto"/>
          <w:sz w:val="50"/>
        </w:rPr>
      </w:pPr>
      <w:r>
        <w:rPr>
          <w:rFonts w:hint="eastAsia" w:asciiTheme="majorEastAsia" w:hAnsiTheme="majorEastAsia" w:eastAsiaTheme="majorEastAsia"/>
          <w:b/>
          <w:color w:val="auto"/>
          <w:sz w:val="50"/>
        </w:rPr>
        <w:t>国网</w:t>
      </w:r>
      <w:r>
        <w:rPr>
          <w:rFonts w:hint="eastAsia" w:cs="宋体" w:asciiTheme="majorEastAsia" w:hAnsiTheme="majorEastAsia" w:eastAsiaTheme="majorEastAsia"/>
          <w:b/>
          <w:color w:val="auto"/>
          <w:sz w:val="50"/>
        </w:rPr>
        <w:t>淮北供电公司</w:t>
      </w:r>
    </w:p>
    <w:p>
      <w:pPr>
        <w:pStyle w:val="26"/>
        <w:spacing w:line="700" w:lineRule="exact"/>
        <w:ind w:right="105" w:rightChars="50"/>
        <w:jc w:val="center"/>
        <w:rPr>
          <w:rFonts w:cs="宋体" w:asciiTheme="majorEastAsia" w:hAnsiTheme="majorEastAsia" w:eastAsiaTheme="majorEastAsia"/>
          <w:b/>
          <w:color w:val="auto"/>
          <w:sz w:val="50"/>
        </w:rPr>
      </w:pPr>
    </w:p>
    <w:p>
      <w:pPr>
        <w:pStyle w:val="26"/>
        <w:spacing w:line="700" w:lineRule="exact"/>
        <w:ind w:right="105" w:rightChars="50"/>
        <w:jc w:val="center"/>
        <w:rPr>
          <w:rFonts w:asciiTheme="majorEastAsia" w:hAnsiTheme="majorEastAsia" w:eastAsiaTheme="majorEastAsia"/>
          <w:b/>
          <w:color w:val="auto"/>
          <w:sz w:val="50"/>
        </w:rPr>
      </w:pPr>
      <w:r>
        <w:rPr>
          <w:rFonts w:hint="eastAsia" w:asciiTheme="majorEastAsia" w:hAnsiTheme="majorEastAsia" w:eastAsiaTheme="majorEastAsia"/>
          <w:b/>
          <w:color w:val="auto"/>
          <w:sz w:val="50"/>
        </w:rPr>
        <w:t>二〇一九年六月</w:t>
      </w:r>
    </w:p>
    <w:p>
      <w:pPr>
        <w:pStyle w:val="26"/>
        <w:spacing w:line="700" w:lineRule="exact"/>
        <w:ind w:right="105" w:rightChars="50"/>
        <w:jc w:val="center"/>
        <w:rPr>
          <w:rFonts w:asciiTheme="majorEastAsia" w:hAnsiTheme="majorEastAsia" w:eastAsiaTheme="majorEastAsia"/>
          <w:b/>
          <w:color w:val="auto"/>
          <w:sz w:val="50"/>
        </w:rPr>
      </w:pPr>
    </w:p>
    <w:p>
      <w:pPr>
        <w:widowControl/>
        <w:jc w:val="left"/>
        <w:rPr>
          <w:rFonts w:cs="黑体" w:asciiTheme="majorEastAsia" w:hAnsiTheme="majorEastAsia" w:eastAsiaTheme="majorEastAsia"/>
          <w:color w:val="auto"/>
          <w:kern w:val="0"/>
          <w:sz w:val="24"/>
          <w:szCs w:val="52"/>
        </w:rPr>
      </w:pPr>
      <w:r>
        <w:rPr>
          <w:rFonts w:cs="黑体" w:asciiTheme="majorEastAsia" w:hAnsiTheme="majorEastAsia"/>
          <w:color w:val="auto"/>
          <w:sz w:val="24"/>
          <w:szCs w:val="52"/>
        </w:rPr>
        <w:br w:type="page"/>
      </w:r>
    </w:p>
    <w:p>
      <w:pPr>
        <w:pStyle w:val="24"/>
        <w:jc w:val="center"/>
        <w:rPr>
          <w:rFonts w:cs="黑体" w:asciiTheme="majorEastAsia" w:hAnsiTheme="majorEastAsia"/>
          <w:color w:val="auto"/>
          <w:sz w:val="24"/>
          <w:szCs w:val="52"/>
        </w:rPr>
      </w:pPr>
    </w:p>
    <w:sdt>
      <w:sdtPr>
        <w:rPr>
          <w:rFonts w:asciiTheme="majorEastAsia" w:hAnsiTheme="majorEastAsia" w:eastAsiaTheme="majorEastAsia"/>
          <w:color w:val="auto"/>
          <w:lang w:val="zh-CN"/>
        </w:rPr>
        <w:id w:val="1774513300"/>
        <w:docPartObj>
          <w:docPartGallery w:val="Table of Contents"/>
          <w:docPartUnique/>
        </w:docPartObj>
      </w:sdtPr>
      <w:sdtEndPr>
        <w:rPr>
          <w:rFonts w:asciiTheme="majorEastAsia" w:hAnsiTheme="majorEastAsia" w:eastAsiaTheme="majorEastAsia"/>
          <w:b/>
          <w:bCs/>
          <w:color w:val="auto"/>
          <w:lang w:val="zh-CN"/>
        </w:rPr>
      </w:sdtEndPr>
      <w:sdtContent>
        <w:p>
          <w:pPr>
            <w:widowControl/>
            <w:ind w:firstLine="4410" w:firstLineChars="2100"/>
            <w:jc w:val="left"/>
            <w:rPr>
              <w:rFonts w:asciiTheme="majorEastAsia" w:hAnsiTheme="majorEastAsia" w:eastAsiaTheme="majorEastAsia"/>
              <w:b/>
              <w:color w:val="auto"/>
            </w:rPr>
          </w:pPr>
          <w:r>
            <w:rPr>
              <w:rFonts w:asciiTheme="majorEastAsia" w:hAnsiTheme="majorEastAsia" w:eastAsiaTheme="majorEastAsia"/>
              <w:b/>
              <w:color w:val="auto"/>
              <w:lang w:val="zh-CN"/>
            </w:rPr>
            <w:t>目录</w:t>
          </w:r>
        </w:p>
        <w:p>
          <w:pPr>
            <w:pStyle w:val="13"/>
            <w:tabs>
              <w:tab w:val="right" w:leader="dot" w:pos="8296"/>
            </w:tabs>
            <w:rPr>
              <w:color w:val="auto"/>
            </w:rPr>
          </w:pPr>
          <w:r>
            <w:rPr>
              <w:rFonts w:asciiTheme="majorEastAsia" w:hAnsiTheme="majorEastAsia" w:eastAsiaTheme="majorEastAsia"/>
              <w:b/>
              <w:color w:val="auto"/>
            </w:rPr>
            <w:fldChar w:fldCharType="begin"/>
          </w:r>
          <w:r>
            <w:rPr>
              <w:rFonts w:asciiTheme="majorEastAsia" w:hAnsiTheme="majorEastAsia" w:eastAsiaTheme="majorEastAsia"/>
              <w:b/>
              <w:color w:val="auto"/>
            </w:rPr>
            <w:instrText xml:space="preserve"> TOC \o "1-3" \h \z \u </w:instrText>
          </w:r>
          <w:r>
            <w:rPr>
              <w:rFonts w:asciiTheme="majorEastAsia" w:hAnsiTheme="majorEastAsia" w:eastAsiaTheme="majorEastAsia"/>
              <w:b/>
              <w:color w:val="auto"/>
            </w:rPr>
            <w:fldChar w:fldCharType="separate"/>
          </w:r>
          <w:r>
            <w:rPr>
              <w:color w:val="auto"/>
            </w:rPr>
            <w:fldChar w:fldCharType="begin"/>
          </w:r>
          <w:r>
            <w:rPr>
              <w:color w:val="auto"/>
            </w:rPr>
            <w:instrText xml:space="preserve"> HYPERLINK \l "_Toc10895725" </w:instrText>
          </w:r>
          <w:r>
            <w:rPr>
              <w:color w:val="auto"/>
            </w:rPr>
            <w:fldChar w:fldCharType="separate"/>
          </w:r>
          <w:r>
            <w:rPr>
              <w:rStyle w:val="16"/>
              <w:rFonts w:asciiTheme="majorEastAsia" w:hAnsiTheme="majorEastAsia" w:eastAsiaTheme="majorEastAsia"/>
              <w:color w:val="auto"/>
            </w:rPr>
            <w:t xml:space="preserve">1 </w:t>
          </w:r>
          <w:r>
            <w:rPr>
              <w:rStyle w:val="16"/>
              <w:rFonts w:hint="eastAsia" w:asciiTheme="majorEastAsia" w:hAnsiTheme="majorEastAsia" w:eastAsiaTheme="majorEastAsia"/>
              <w:color w:val="auto"/>
            </w:rPr>
            <w:t>总则</w:t>
          </w:r>
          <w:r>
            <w:rPr>
              <w:color w:val="auto"/>
            </w:rPr>
            <w:tab/>
          </w:r>
          <w:r>
            <w:rPr>
              <w:color w:val="auto"/>
            </w:rPr>
            <w:fldChar w:fldCharType="begin"/>
          </w:r>
          <w:r>
            <w:rPr>
              <w:color w:val="auto"/>
            </w:rPr>
            <w:instrText xml:space="preserve"> PAGEREF _Toc10895725 \h </w:instrText>
          </w:r>
          <w:r>
            <w:rPr>
              <w:color w:val="auto"/>
            </w:rPr>
            <w:fldChar w:fldCharType="separate"/>
          </w:r>
          <w:r>
            <w:rPr>
              <w:color w:val="auto"/>
            </w:rPr>
            <w:t>3</w:t>
          </w:r>
          <w:r>
            <w:rPr>
              <w:color w:val="auto"/>
            </w:rPr>
            <w:fldChar w:fldCharType="end"/>
          </w:r>
          <w:r>
            <w:rPr>
              <w:color w:val="auto"/>
            </w:rPr>
            <w:fldChar w:fldCharType="end"/>
          </w:r>
        </w:p>
        <w:p>
          <w:pPr>
            <w:pStyle w:val="14"/>
            <w:tabs>
              <w:tab w:val="left" w:pos="1050"/>
              <w:tab w:val="right" w:leader="dot" w:pos="8296"/>
            </w:tabs>
            <w:rPr>
              <w:color w:val="auto"/>
            </w:rPr>
          </w:pPr>
          <w:r>
            <w:rPr>
              <w:color w:val="auto"/>
            </w:rPr>
            <w:fldChar w:fldCharType="begin"/>
          </w:r>
          <w:r>
            <w:rPr>
              <w:color w:val="auto"/>
            </w:rPr>
            <w:instrText xml:space="preserve"> HYPERLINK \l "_Toc10895726" </w:instrText>
          </w:r>
          <w:r>
            <w:rPr>
              <w:color w:val="auto"/>
            </w:rPr>
            <w:fldChar w:fldCharType="separate"/>
          </w:r>
          <w:r>
            <w:rPr>
              <w:rStyle w:val="16"/>
              <w:rFonts w:asciiTheme="majorEastAsia" w:hAnsiTheme="majorEastAsia"/>
              <w:color w:val="auto"/>
            </w:rPr>
            <w:t>1.1</w:t>
          </w:r>
          <w:r>
            <w:rPr>
              <w:color w:val="auto"/>
            </w:rPr>
            <w:tab/>
          </w:r>
          <w:r>
            <w:rPr>
              <w:rStyle w:val="16"/>
              <w:rFonts w:hint="eastAsia" w:asciiTheme="majorEastAsia" w:hAnsiTheme="majorEastAsia"/>
              <w:color w:val="auto"/>
            </w:rPr>
            <w:t>一般规定</w:t>
          </w:r>
          <w:r>
            <w:rPr>
              <w:color w:val="auto"/>
            </w:rPr>
            <w:tab/>
          </w:r>
          <w:r>
            <w:rPr>
              <w:color w:val="auto"/>
            </w:rPr>
            <w:fldChar w:fldCharType="begin"/>
          </w:r>
          <w:r>
            <w:rPr>
              <w:color w:val="auto"/>
            </w:rPr>
            <w:instrText xml:space="preserve"> PAGEREF _Toc10895726 \h </w:instrText>
          </w:r>
          <w:r>
            <w:rPr>
              <w:color w:val="auto"/>
            </w:rPr>
            <w:fldChar w:fldCharType="separate"/>
          </w:r>
          <w:r>
            <w:rPr>
              <w:color w:val="auto"/>
            </w:rPr>
            <w:t>3</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"_Toc10895727" </w:instrText>
          </w:r>
          <w:r>
            <w:rPr>
              <w:color w:val="auto"/>
            </w:rPr>
            <w:fldChar w:fldCharType="separate"/>
          </w:r>
          <w:r>
            <w:rPr>
              <w:rStyle w:val="16"/>
              <w:rFonts w:asciiTheme="majorEastAsia" w:hAnsiTheme="majorEastAsia"/>
              <w:color w:val="auto"/>
            </w:rPr>
            <w:t xml:space="preserve">1.2 </w:t>
          </w:r>
          <w:r>
            <w:rPr>
              <w:rStyle w:val="16"/>
              <w:rFonts w:hint="eastAsia" w:asciiTheme="majorEastAsia" w:hAnsiTheme="majorEastAsia"/>
              <w:color w:val="auto"/>
            </w:rPr>
            <w:t>投标人应提供的资格文件</w:t>
          </w:r>
          <w:r>
            <w:rPr>
              <w:color w:val="auto"/>
            </w:rPr>
            <w:tab/>
          </w:r>
          <w:r>
            <w:rPr>
              <w:color w:val="auto"/>
            </w:rPr>
            <w:fldChar w:fldCharType="begin"/>
          </w:r>
          <w:r>
            <w:rPr>
              <w:color w:val="auto"/>
            </w:rPr>
            <w:instrText xml:space="preserve"> PAGEREF _Toc10895727 \h </w:instrText>
          </w:r>
          <w:r>
            <w:rPr>
              <w:color w:val="auto"/>
            </w:rPr>
            <w:fldChar w:fldCharType="separate"/>
          </w:r>
          <w:r>
            <w:rPr>
              <w:color w:val="auto"/>
            </w:rPr>
            <w:t>3</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"_Toc10895728" </w:instrText>
          </w:r>
          <w:r>
            <w:rPr>
              <w:color w:val="auto"/>
            </w:rPr>
            <w:fldChar w:fldCharType="separate"/>
          </w:r>
          <w:r>
            <w:rPr>
              <w:rStyle w:val="16"/>
              <w:rFonts w:asciiTheme="majorEastAsia" w:hAnsiTheme="majorEastAsia"/>
              <w:color w:val="auto"/>
            </w:rPr>
            <w:t>1.3</w:t>
          </w:r>
          <w:r>
            <w:rPr>
              <w:rStyle w:val="16"/>
              <w:rFonts w:hint="eastAsia" w:asciiTheme="majorEastAsia" w:hAnsiTheme="majorEastAsia"/>
              <w:color w:val="auto"/>
            </w:rPr>
            <w:t>工作范围和进度要求</w:t>
          </w:r>
          <w:r>
            <w:rPr>
              <w:color w:val="auto"/>
            </w:rPr>
            <w:tab/>
          </w:r>
          <w:r>
            <w:rPr>
              <w:color w:val="auto"/>
            </w:rPr>
            <w:fldChar w:fldCharType="begin"/>
          </w:r>
          <w:r>
            <w:rPr>
              <w:color w:val="auto"/>
            </w:rPr>
            <w:instrText xml:space="preserve"> PAGEREF _Toc10895728 \h </w:instrText>
          </w:r>
          <w:r>
            <w:rPr>
              <w:color w:val="auto"/>
            </w:rPr>
            <w:fldChar w:fldCharType="separate"/>
          </w:r>
          <w:r>
            <w:rPr>
              <w:color w:val="auto"/>
            </w:rPr>
            <w:t>4</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"_Toc10895729" </w:instrText>
          </w:r>
          <w:r>
            <w:rPr>
              <w:color w:val="auto"/>
            </w:rPr>
            <w:fldChar w:fldCharType="separate"/>
          </w:r>
          <w:r>
            <w:rPr>
              <w:rStyle w:val="16"/>
              <w:rFonts w:asciiTheme="majorEastAsia" w:hAnsiTheme="majorEastAsia"/>
              <w:color w:val="auto"/>
            </w:rPr>
            <w:t>1.4</w:t>
          </w:r>
          <w:r>
            <w:rPr>
              <w:rStyle w:val="16"/>
              <w:rFonts w:hint="eastAsia" w:asciiTheme="majorEastAsia" w:hAnsiTheme="majorEastAsia"/>
              <w:color w:val="auto"/>
            </w:rPr>
            <w:t>技术资料和试验报告</w:t>
          </w:r>
          <w:r>
            <w:rPr>
              <w:color w:val="auto"/>
            </w:rPr>
            <w:tab/>
          </w:r>
          <w:r>
            <w:rPr>
              <w:color w:val="auto"/>
            </w:rPr>
            <w:fldChar w:fldCharType="begin"/>
          </w:r>
          <w:r>
            <w:rPr>
              <w:color w:val="auto"/>
            </w:rPr>
            <w:instrText xml:space="preserve"> PAGEREF _Toc10895729 \h </w:instrText>
          </w:r>
          <w:r>
            <w:rPr>
              <w:color w:val="auto"/>
            </w:rPr>
            <w:fldChar w:fldCharType="separate"/>
          </w:r>
          <w:r>
            <w:rPr>
              <w:color w:val="auto"/>
            </w:rPr>
            <w:t>4</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"_Toc10895730" </w:instrText>
          </w:r>
          <w:r>
            <w:rPr>
              <w:color w:val="auto"/>
            </w:rPr>
            <w:fldChar w:fldCharType="separate"/>
          </w:r>
          <w:r>
            <w:rPr>
              <w:rStyle w:val="16"/>
              <w:rFonts w:asciiTheme="majorEastAsia" w:hAnsiTheme="majorEastAsia"/>
              <w:color w:val="auto"/>
            </w:rPr>
            <w:t>1.5</w:t>
          </w:r>
          <w:r>
            <w:rPr>
              <w:rStyle w:val="16"/>
              <w:rFonts w:hint="eastAsia" w:asciiTheme="majorEastAsia" w:hAnsiTheme="majorEastAsia"/>
              <w:color w:val="auto"/>
            </w:rPr>
            <w:t>标准和规范</w:t>
          </w:r>
          <w:r>
            <w:rPr>
              <w:color w:val="auto"/>
            </w:rPr>
            <w:tab/>
          </w:r>
          <w:r>
            <w:rPr>
              <w:color w:val="auto"/>
            </w:rPr>
            <w:fldChar w:fldCharType="begin"/>
          </w:r>
          <w:r>
            <w:rPr>
              <w:color w:val="auto"/>
            </w:rPr>
            <w:instrText xml:space="preserve"> PAGEREF _Toc10895730 \h </w:instrText>
          </w:r>
          <w:r>
            <w:rPr>
              <w:color w:val="auto"/>
            </w:rPr>
            <w:fldChar w:fldCharType="separate"/>
          </w:r>
          <w:r>
            <w:rPr>
              <w:color w:val="auto"/>
            </w:rPr>
            <w:t>5</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"_Toc10895731" </w:instrText>
          </w:r>
          <w:r>
            <w:rPr>
              <w:color w:val="auto"/>
            </w:rPr>
            <w:fldChar w:fldCharType="separate"/>
          </w:r>
          <w:r>
            <w:rPr>
              <w:rStyle w:val="16"/>
              <w:rFonts w:ascii="宋体" w:hAnsi="宋体"/>
              <w:color w:val="auto"/>
            </w:rPr>
            <w:t>1.6</w:t>
          </w:r>
          <w:r>
            <w:rPr>
              <w:rStyle w:val="16"/>
              <w:rFonts w:hint="eastAsia" w:ascii="宋体" w:hAnsi="宋体"/>
              <w:color w:val="auto"/>
            </w:rPr>
            <w:t>备品备件</w:t>
          </w:r>
          <w:r>
            <w:rPr>
              <w:color w:val="auto"/>
            </w:rPr>
            <w:tab/>
          </w:r>
          <w:r>
            <w:rPr>
              <w:color w:val="auto"/>
            </w:rPr>
            <w:fldChar w:fldCharType="begin"/>
          </w:r>
          <w:r>
            <w:rPr>
              <w:color w:val="auto"/>
            </w:rPr>
            <w:instrText xml:space="preserve"> PAGEREF _Toc10895731 \h </w:instrText>
          </w:r>
          <w:r>
            <w:rPr>
              <w:color w:val="auto"/>
            </w:rPr>
            <w:fldChar w:fldCharType="separate"/>
          </w:r>
          <w:r>
            <w:rPr>
              <w:color w:val="auto"/>
            </w:rPr>
            <w:t>5</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"_Toc10895732" </w:instrText>
          </w:r>
          <w:r>
            <w:rPr>
              <w:color w:val="auto"/>
            </w:rPr>
            <w:fldChar w:fldCharType="separate"/>
          </w:r>
          <w:r>
            <w:rPr>
              <w:rStyle w:val="16"/>
              <w:rFonts w:asciiTheme="majorEastAsia" w:hAnsiTheme="majorEastAsia"/>
              <w:color w:val="auto"/>
            </w:rPr>
            <w:t>1.7</w:t>
          </w:r>
          <w:r>
            <w:rPr>
              <w:rStyle w:val="16"/>
              <w:rFonts w:hint="eastAsia" w:asciiTheme="majorEastAsia" w:hAnsiTheme="majorEastAsia"/>
              <w:color w:val="auto"/>
            </w:rPr>
            <w:t>工具和仪器仪表</w:t>
          </w:r>
          <w:r>
            <w:rPr>
              <w:color w:val="auto"/>
            </w:rPr>
            <w:tab/>
          </w:r>
          <w:r>
            <w:rPr>
              <w:color w:val="auto"/>
            </w:rPr>
            <w:fldChar w:fldCharType="begin"/>
          </w:r>
          <w:r>
            <w:rPr>
              <w:color w:val="auto"/>
            </w:rPr>
            <w:instrText xml:space="preserve"> PAGEREF _Toc10895732 \h </w:instrText>
          </w:r>
          <w:r>
            <w:rPr>
              <w:color w:val="auto"/>
            </w:rPr>
            <w:fldChar w:fldCharType="separate"/>
          </w:r>
          <w:r>
            <w:rPr>
              <w:color w:val="auto"/>
            </w:rPr>
            <w:t>5</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"_Toc10895733" </w:instrText>
          </w:r>
          <w:r>
            <w:rPr>
              <w:color w:val="auto"/>
            </w:rPr>
            <w:fldChar w:fldCharType="separate"/>
          </w:r>
          <w:r>
            <w:rPr>
              <w:rStyle w:val="16"/>
              <w:rFonts w:asciiTheme="majorEastAsia" w:hAnsiTheme="majorEastAsia" w:eastAsiaTheme="majorEastAsia"/>
              <w:color w:val="auto"/>
            </w:rPr>
            <w:t xml:space="preserve">2 </w:t>
          </w:r>
          <w:r>
            <w:rPr>
              <w:rStyle w:val="16"/>
              <w:rFonts w:hint="eastAsia" w:asciiTheme="majorEastAsia" w:hAnsiTheme="majorEastAsia" w:eastAsiaTheme="majorEastAsia"/>
              <w:color w:val="auto"/>
            </w:rPr>
            <w:t>技术要求和性能参数</w:t>
          </w:r>
          <w:r>
            <w:rPr>
              <w:color w:val="auto"/>
            </w:rPr>
            <w:tab/>
          </w:r>
          <w:r>
            <w:rPr>
              <w:color w:val="auto"/>
            </w:rPr>
            <w:fldChar w:fldCharType="begin"/>
          </w:r>
          <w:r>
            <w:rPr>
              <w:color w:val="auto"/>
            </w:rPr>
            <w:instrText xml:space="preserve"> PAGEREF _Toc10895733 \h </w:instrText>
          </w:r>
          <w:r>
            <w:rPr>
              <w:color w:val="auto"/>
            </w:rPr>
            <w:fldChar w:fldCharType="separate"/>
          </w:r>
          <w:r>
            <w:rPr>
              <w:color w:val="auto"/>
            </w:rPr>
            <w:t>6</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"_Toc10895734" </w:instrText>
          </w:r>
          <w:r>
            <w:rPr>
              <w:color w:val="auto"/>
            </w:rPr>
            <w:fldChar w:fldCharType="separate"/>
          </w:r>
          <w:r>
            <w:rPr>
              <w:rStyle w:val="16"/>
              <w:rFonts w:asciiTheme="majorEastAsia" w:hAnsiTheme="majorEastAsia"/>
              <w:color w:val="auto"/>
            </w:rPr>
            <w:t>2.1</w:t>
          </w:r>
          <w:r>
            <w:rPr>
              <w:rStyle w:val="16"/>
              <w:rFonts w:hint="eastAsia" w:asciiTheme="majorEastAsia" w:hAnsiTheme="majorEastAsia"/>
              <w:color w:val="auto"/>
            </w:rPr>
            <w:t>一般规定</w:t>
          </w:r>
          <w:r>
            <w:rPr>
              <w:color w:val="auto"/>
            </w:rPr>
            <w:tab/>
          </w:r>
          <w:r>
            <w:rPr>
              <w:color w:val="auto"/>
            </w:rPr>
            <w:fldChar w:fldCharType="begin"/>
          </w:r>
          <w:r>
            <w:rPr>
              <w:color w:val="auto"/>
            </w:rPr>
            <w:instrText xml:space="preserve"> PAGEREF _Toc10895734 \h </w:instrText>
          </w:r>
          <w:r>
            <w:rPr>
              <w:color w:val="auto"/>
            </w:rPr>
            <w:fldChar w:fldCharType="separate"/>
          </w:r>
          <w:r>
            <w:rPr>
              <w:color w:val="auto"/>
            </w:rPr>
            <w:t>6</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"_Toc10895735" </w:instrText>
          </w:r>
          <w:r>
            <w:rPr>
              <w:color w:val="auto"/>
            </w:rPr>
            <w:fldChar w:fldCharType="separate"/>
          </w:r>
          <w:r>
            <w:rPr>
              <w:rStyle w:val="16"/>
              <w:rFonts w:asciiTheme="majorEastAsia" w:hAnsiTheme="majorEastAsia" w:eastAsiaTheme="majorEastAsia"/>
              <w:color w:val="auto"/>
            </w:rPr>
            <w:t xml:space="preserve">3 </w:t>
          </w:r>
          <w:r>
            <w:rPr>
              <w:rStyle w:val="16"/>
              <w:rFonts w:hint="eastAsia" w:asciiTheme="majorEastAsia" w:hAnsiTheme="majorEastAsia" w:eastAsiaTheme="majorEastAsia"/>
              <w:color w:val="auto"/>
            </w:rPr>
            <w:t>监造</w:t>
          </w:r>
          <w:r>
            <w:rPr>
              <w:color w:val="auto"/>
            </w:rPr>
            <w:tab/>
          </w:r>
          <w:r>
            <w:rPr>
              <w:color w:val="auto"/>
            </w:rPr>
            <w:fldChar w:fldCharType="begin"/>
          </w:r>
          <w:r>
            <w:rPr>
              <w:color w:val="auto"/>
            </w:rPr>
            <w:instrText xml:space="preserve"> PAGEREF _Toc10895735 \h </w:instrText>
          </w:r>
          <w:r>
            <w:rPr>
              <w:color w:val="auto"/>
            </w:rPr>
            <w:fldChar w:fldCharType="separate"/>
          </w:r>
          <w:r>
            <w:rPr>
              <w:color w:val="auto"/>
            </w:rPr>
            <w:t>6</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"_Toc10895736" </w:instrText>
          </w:r>
          <w:r>
            <w:rPr>
              <w:color w:val="auto"/>
            </w:rPr>
            <w:fldChar w:fldCharType="separate"/>
          </w:r>
          <w:r>
            <w:rPr>
              <w:rStyle w:val="16"/>
              <w:rFonts w:asciiTheme="majorEastAsia" w:hAnsiTheme="majorEastAsia" w:eastAsiaTheme="majorEastAsia"/>
              <w:color w:val="auto"/>
            </w:rPr>
            <w:t xml:space="preserve">4 </w:t>
          </w:r>
          <w:r>
            <w:rPr>
              <w:rStyle w:val="16"/>
              <w:rFonts w:hint="eastAsia" w:asciiTheme="majorEastAsia" w:hAnsiTheme="majorEastAsia" w:eastAsiaTheme="majorEastAsia"/>
              <w:color w:val="auto"/>
            </w:rPr>
            <w:t>包装、运输与交货</w:t>
          </w:r>
          <w:r>
            <w:rPr>
              <w:color w:val="auto"/>
            </w:rPr>
            <w:tab/>
          </w:r>
          <w:r>
            <w:rPr>
              <w:color w:val="auto"/>
            </w:rPr>
            <w:fldChar w:fldCharType="begin"/>
          </w:r>
          <w:r>
            <w:rPr>
              <w:color w:val="auto"/>
            </w:rPr>
            <w:instrText xml:space="preserve"> PAGEREF _Toc10895736 \h </w:instrText>
          </w:r>
          <w:r>
            <w:rPr>
              <w:color w:val="auto"/>
            </w:rPr>
            <w:fldChar w:fldCharType="separate"/>
          </w:r>
          <w:r>
            <w:rPr>
              <w:color w:val="auto"/>
            </w:rPr>
            <w:t>6</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"_Toc10895737" </w:instrText>
          </w:r>
          <w:r>
            <w:rPr>
              <w:color w:val="auto"/>
            </w:rPr>
            <w:fldChar w:fldCharType="separate"/>
          </w:r>
          <w:r>
            <w:rPr>
              <w:rStyle w:val="16"/>
              <w:rFonts w:asciiTheme="majorEastAsia" w:hAnsiTheme="majorEastAsia" w:eastAsiaTheme="majorEastAsia"/>
              <w:color w:val="auto"/>
            </w:rPr>
            <w:t>5</w:t>
          </w:r>
          <w:r>
            <w:rPr>
              <w:rStyle w:val="16"/>
              <w:rFonts w:hint="eastAsia" w:asciiTheme="majorEastAsia" w:hAnsiTheme="majorEastAsia" w:eastAsiaTheme="majorEastAsia"/>
              <w:color w:val="auto"/>
            </w:rPr>
            <w:t>技术服务</w:t>
          </w:r>
          <w:r>
            <w:rPr>
              <w:color w:val="auto"/>
            </w:rPr>
            <w:tab/>
          </w:r>
          <w:r>
            <w:rPr>
              <w:color w:val="auto"/>
            </w:rPr>
            <w:fldChar w:fldCharType="begin"/>
          </w:r>
          <w:r>
            <w:rPr>
              <w:color w:val="auto"/>
            </w:rPr>
            <w:instrText xml:space="preserve"> PAGEREF _Toc10895737 \h </w:instrText>
          </w:r>
          <w:r>
            <w:rPr>
              <w:color w:val="auto"/>
            </w:rPr>
            <w:fldChar w:fldCharType="separate"/>
          </w:r>
          <w:r>
            <w:rPr>
              <w:color w:val="auto"/>
            </w:rPr>
            <w:t>6</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"_Toc10895738" </w:instrText>
          </w:r>
          <w:r>
            <w:rPr>
              <w:color w:val="auto"/>
            </w:rPr>
            <w:fldChar w:fldCharType="separate"/>
          </w:r>
          <w:r>
            <w:rPr>
              <w:rStyle w:val="16"/>
              <w:rFonts w:asciiTheme="majorEastAsia" w:hAnsiTheme="majorEastAsia"/>
              <w:color w:val="auto"/>
            </w:rPr>
            <w:t>5.1</w:t>
          </w:r>
          <w:r>
            <w:rPr>
              <w:rStyle w:val="16"/>
              <w:rFonts w:hint="eastAsia" w:asciiTheme="majorEastAsia" w:hAnsiTheme="majorEastAsia"/>
              <w:color w:val="auto"/>
            </w:rPr>
            <w:t>现场服务</w:t>
          </w:r>
          <w:r>
            <w:rPr>
              <w:color w:val="auto"/>
            </w:rPr>
            <w:tab/>
          </w:r>
          <w:r>
            <w:rPr>
              <w:color w:val="auto"/>
            </w:rPr>
            <w:fldChar w:fldCharType="begin"/>
          </w:r>
          <w:r>
            <w:rPr>
              <w:color w:val="auto"/>
            </w:rPr>
            <w:instrText xml:space="preserve"> PAGEREF _Toc10895738 \h </w:instrText>
          </w:r>
          <w:r>
            <w:rPr>
              <w:color w:val="auto"/>
            </w:rPr>
            <w:fldChar w:fldCharType="separate"/>
          </w:r>
          <w:r>
            <w:rPr>
              <w:color w:val="auto"/>
            </w:rPr>
            <w:t>6</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"_Toc10895739" </w:instrText>
          </w:r>
          <w:r>
            <w:rPr>
              <w:color w:val="auto"/>
            </w:rPr>
            <w:fldChar w:fldCharType="separate"/>
          </w:r>
          <w:r>
            <w:rPr>
              <w:rStyle w:val="16"/>
              <w:rFonts w:ascii="宋体" w:hAnsi="宋体"/>
              <w:color w:val="auto"/>
            </w:rPr>
            <w:t>5.2</w:t>
          </w:r>
          <w:r>
            <w:rPr>
              <w:rStyle w:val="16"/>
              <w:rFonts w:hint="eastAsia" w:ascii="宋体" w:hAnsi="宋体"/>
              <w:color w:val="auto"/>
            </w:rPr>
            <w:t>质量保证</w:t>
          </w:r>
          <w:r>
            <w:rPr>
              <w:color w:val="auto"/>
            </w:rPr>
            <w:tab/>
          </w:r>
          <w:r>
            <w:rPr>
              <w:color w:val="auto"/>
            </w:rPr>
            <w:fldChar w:fldCharType="begin"/>
          </w:r>
          <w:r>
            <w:rPr>
              <w:color w:val="auto"/>
            </w:rPr>
            <w:instrText xml:space="preserve"> PAGEREF _Toc10895739 \h </w:instrText>
          </w:r>
          <w:r>
            <w:rPr>
              <w:color w:val="auto"/>
            </w:rPr>
            <w:fldChar w:fldCharType="separate"/>
          </w:r>
          <w:r>
            <w:rPr>
              <w:color w:val="auto"/>
            </w:rPr>
            <w:t>7</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"_Toc10895740" </w:instrText>
          </w:r>
          <w:r>
            <w:rPr>
              <w:color w:val="auto"/>
            </w:rPr>
            <w:fldChar w:fldCharType="separate"/>
          </w:r>
          <w:r>
            <w:rPr>
              <w:rStyle w:val="16"/>
              <w:rFonts w:asciiTheme="majorEastAsia" w:hAnsiTheme="majorEastAsia"/>
              <w:color w:val="auto"/>
            </w:rPr>
            <w:t>5.3</w:t>
          </w:r>
          <w:r>
            <w:rPr>
              <w:rStyle w:val="16"/>
              <w:rFonts w:hint="eastAsia" w:asciiTheme="majorEastAsia" w:hAnsiTheme="majorEastAsia"/>
              <w:color w:val="auto"/>
            </w:rPr>
            <w:t>技术支持</w:t>
          </w:r>
          <w:r>
            <w:rPr>
              <w:color w:val="auto"/>
            </w:rPr>
            <w:tab/>
          </w:r>
          <w:r>
            <w:rPr>
              <w:color w:val="auto"/>
            </w:rPr>
            <w:fldChar w:fldCharType="begin"/>
          </w:r>
          <w:r>
            <w:rPr>
              <w:color w:val="auto"/>
            </w:rPr>
            <w:instrText xml:space="preserve"> PAGEREF _Toc10895740 \h </w:instrText>
          </w:r>
          <w:r>
            <w:rPr>
              <w:color w:val="auto"/>
            </w:rPr>
            <w:fldChar w:fldCharType="separate"/>
          </w:r>
          <w:r>
            <w:rPr>
              <w:color w:val="auto"/>
            </w:rPr>
            <w:t>7</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"_Toc10895741" </w:instrText>
          </w:r>
          <w:r>
            <w:rPr>
              <w:color w:val="auto"/>
            </w:rPr>
            <w:fldChar w:fldCharType="separate"/>
          </w:r>
          <w:r>
            <w:rPr>
              <w:rStyle w:val="16"/>
              <w:rFonts w:ascii="宋体" w:hAnsi="宋体"/>
              <w:color w:val="auto"/>
            </w:rPr>
            <w:t>5.4</w:t>
          </w:r>
          <w:r>
            <w:rPr>
              <w:rStyle w:val="16"/>
              <w:rFonts w:hint="eastAsia" w:ascii="宋体" w:hAnsi="宋体"/>
              <w:color w:val="auto"/>
            </w:rPr>
            <w:t>维修保养</w:t>
          </w:r>
          <w:r>
            <w:rPr>
              <w:color w:val="auto"/>
            </w:rPr>
            <w:tab/>
          </w:r>
          <w:r>
            <w:rPr>
              <w:color w:val="auto"/>
            </w:rPr>
            <w:fldChar w:fldCharType="begin"/>
          </w:r>
          <w:r>
            <w:rPr>
              <w:color w:val="auto"/>
            </w:rPr>
            <w:instrText xml:space="preserve"> PAGEREF _Toc10895741 \h </w:instrText>
          </w:r>
          <w:r>
            <w:rPr>
              <w:color w:val="auto"/>
            </w:rPr>
            <w:fldChar w:fldCharType="separate"/>
          </w:r>
          <w:r>
            <w:rPr>
              <w:color w:val="auto"/>
            </w:rPr>
            <w:t>7</w:t>
          </w:r>
          <w:r>
            <w:rPr>
              <w:color w:val="auto"/>
            </w:rPr>
            <w:fldChar w:fldCharType="end"/>
          </w:r>
          <w:r>
            <w:rPr>
              <w:color w:val="auto"/>
            </w:rPr>
            <w:fldChar w:fldCharType="end"/>
          </w:r>
        </w:p>
        <w:p>
          <w:pPr>
            <w:pStyle w:val="14"/>
            <w:tabs>
              <w:tab w:val="right" w:leader="dot" w:pos="8296"/>
            </w:tabs>
            <w:rPr>
              <w:color w:val="auto"/>
            </w:rPr>
          </w:pPr>
          <w:r>
            <w:rPr>
              <w:color w:val="auto"/>
            </w:rPr>
            <w:fldChar w:fldCharType="begin"/>
          </w:r>
          <w:r>
            <w:rPr>
              <w:color w:val="auto"/>
            </w:rPr>
            <w:instrText xml:space="preserve"> HYPERLINK \l "_Toc10895742" </w:instrText>
          </w:r>
          <w:r>
            <w:rPr>
              <w:color w:val="auto"/>
            </w:rPr>
            <w:fldChar w:fldCharType="separate"/>
          </w:r>
          <w:r>
            <w:rPr>
              <w:rStyle w:val="16"/>
              <w:rFonts w:ascii="宋体" w:hAnsi="宋体"/>
              <w:color w:val="auto"/>
            </w:rPr>
            <w:t>5.5</w:t>
          </w:r>
          <w:r>
            <w:rPr>
              <w:rStyle w:val="16"/>
              <w:rFonts w:hint="eastAsia" w:ascii="宋体" w:hAnsi="宋体"/>
              <w:color w:val="auto"/>
            </w:rPr>
            <w:t>其他要求</w:t>
          </w:r>
          <w:r>
            <w:rPr>
              <w:color w:val="auto"/>
            </w:rPr>
            <w:tab/>
          </w:r>
          <w:r>
            <w:rPr>
              <w:color w:val="auto"/>
            </w:rPr>
            <w:fldChar w:fldCharType="begin"/>
          </w:r>
          <w:r>
            <w:rPr>
              <w:color w:val="auto"/>
            </w:rPr>
            <w:instrText xml:space="preserve"> PAGEREF _Toc10895742 \h </w:instrText>
          </w:r>
          <w:r>
            <w:rPr>
              <w:color w:val="auto"/>
            </w:rPr>
            <w:fldChar w:fldCharType="separate"/>
          </w:r>
          <w:r>
            <w:rPr>
              <w:color w:val="auto"/>
            </w:rPr>
            <w:t>8</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"_Toc10895743" </w:instrText>
          </w:r>
          <w:r>
            <w:rPr>
              <w:color w:val="auto"/>
            </w:rPr>
            <w:fldChar w:fldCharType="separate"/>
          </w:r>
          <w:r>
            <w:rPr>
              <w:rStyle w:val="16"/>
              <w:rFonts w:asciiTheme="majorEastAsia" w:hAnsiTheme="majorEastAsia" w:eastAsiaTheme="majorEastAsia"/>
              <w:color w:val="auto"/>
            </w:rPr>
            <w:t xml:space="preserve">6 </w:t>
          </w:r>
          <w:r>
            <w:rPr>
              <w:rStyle w:val="16"/>
              <w:rFonts w:hint="eastAsia" w:asciiTheme="majorEastAsia" w:hAnsiTheme="majorEastAsia" w:eastAsiaTheme="majorEastAsia"/>
              <w:color w:val="auto"/>
            </w:rPr>
            <w:t>技术规范</w:t>
          </w:r>
          <w:r>
            <w:rPr>
              <w:color w:val="auto"/>
            </w:rPr>
            <w:tab/>
          </w:r>
          <w:r>
            <w:rPr>
              <w:color w:val="auto"/>
            </w:rPr>
            <w:fldChar w:fldCharType="begin"/>
          </w:r>
          <w:r>
            <w:rPr>
              <w:color w:val="auto"/>
            </w:rPr>
            <w:instrText xml:space="preserve"> PAGEREF _Toc10895743 \h </w:instrText>
          </w:r>
          <w:r>
            <w:rPr>
              <w:color w:val="auto"/>
            </w:rPr>
            <w:fldChar w:fldCharType="separate"/>
          </w:r>
          <w:r>
            <w:rPr>
              <w:color w:val="auto"/>
            </w:rPr>
            <w:t>8</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"_Toc10895744" </w:instrText>
          </w:r>
          <w:r>
            <w:rPr>
              <w:color w:val="auto"/>
            </w:rPr>
            <w:fldChar w:fldCharType="separate"/>
          </w:r>
          <w:r>
            <w:rPr>
              <w:rStyle w:val="16"/>
              <w:rFonts w:hint="eastAsia" w:asciiTheme="minorEastAsia" w:hAnsiTheme="minorEastAsia"/>
              <w:color w:val="auto"/>
            </w:rPr>
            <w:t>附录</w:t>
          </w:r>
          <w:r>
            <w:rPr>
              <w:rStyle w:val="16"/>
              <w:rFonts w:asciiTheme="minorEastAsia" w:hAnsiTheme="minorEastAsia"/>
              <w:color w:val="auto"/>
            </w:rPr>
            <w:t xml:space="preserve">A </w:t>
          </w:r>
          <w:r>
            <w:rPr>
              <w:rStyle w:val="16"/>
              <w:rFonts w:hint="eastAsia" w:asciiTheme="minorEastAsia" w:hAnsiTheme="minorEastAsia"/>
              <w:color w:val="auto"/>
            </w:rPr>
            <w:t>本项目人力资源配置表</w:t>
          </w:r>
          <w:r>
            <w:rPr>
              <w:color w:val="auto"/>
            </w:rPr>
            <w:tab/>
          </w:r>
          <w:r>
            <w:rPr>
              <w:color w:val="auto"/>
            </w:rPr>
            <w:fldChar w:fldCharType="begin"/>
          </w:r>
          <w:r>
            <w:rPr>
              <w:color w:val="auto"/>
            </w:rPr>
            <w:instrText xml:space="preserve"> PAGEREF _Toc10895744 \h </w:instrText>
          </w:r>
          <w:r>
            <w:rPr>
              <w:color w:val="auto"/>
            </w:rPr>
            <w:fldChar w:fldCharType="separate"/>
          </w:r>
          <w:r>
            <w:rPr>
              <w:color w:val="auto"/>
            </w:rPr>
            <w:t>11</w:t>
          </w:r>
          <w:r>
            <w:rPr>
              <w:color w:val="auto"/>
            </w:rPr>
            <w:fldChar w:fldCharType="end"/>
          </w:r>
          <w:r>
            <w:rPr>
              <w:color w:val="auto"/>
            </w:rPr>
            <w:fldChar w:fldCharType="end"/>
          </w:r>
        </w:p>
        <w:p>
          <w:pPr>
            <w:pStyle w:val="13"/>
            <w:tabs>
              <w:tab w:val="right" w:leader="dot" w:pos="8296"/>
            </w:tabs>
            <w:rPr>
              <w:color w:val="auto"/>
            </w:rPr>
          </w:pPr>
          <w:r>
            <w:rPr>
              <w:color w:val="auto"/>
            </w:rPr>
            <w:fldChar w:fldCharType="begin"/>
          </w:r>
          <w:r>
            <w:rPr>
              <w:color w:val="auto"/>
            </w:rPr>
            <w:instrText xml:space="preserve"> HYPERLINK \l "_Toc10895745" </w:instrText>
          </w:r>
          <w:r>
            <w:rPr>
              <w:color w:val="auto"/>
            </w:rPr>
            <w:fldChar w:fldCharType="separate"/>
          </w:r>
          <w:r>
            <w:rPr>
              <w:rStyle w:val="16"/>
              <w:rFonts w:hint="eastAsia" w:asciiTheme="minorEastAsia" w:hAnsiTheme="minorEastAsia"/>
              <w:color w:val="auto"/>
            </w:rPr>
            <w:t>附录</w:t>
          </w:r>
          <w:r>
            <w:rPr>
              <w:rStyle w:val="16"/>
              <w:rFonts w:asciiTheme="minorEastAsia" w:hAnsiTheme="minorEastAsia"/>
              <w:color w:val="auto"/>
            </w:rPr>
            <w:t xml:space="preserve">B </w:t>
          </w:r>
          <w:r>
            <w:rPr>
              <w:rStyle w:val="16"/>
              <w:rFonts w:hint="eastAsia" w:asciiTheme="minorEastAsia" w:hAnsiTheme="minorEastAsia"/>
              <w:color w:val="auto"/>
            </w:rPr>
            <w:t>技术偏差表</w:t>
          </w:r>
          <w:r>
            <w:rPr>
              <w:color w:val="auto"/>
            </w:rPr>
            <w:tab/>
          </w:r>
          <w:r>
            <w:rPr>
              <w:color w:val="auto"/>
            </w:rPr>
            <w:fldChar w:fldCharType="begin"/>
          </w:r>
          <w:r>
            <w:rPr>
              <w:color w:val="auto"/>
            </w:rPr>
            <w:instrText xml:space="preserve"> PAGEREF _Toc10895745 \h </w:instrText>
          </w:r>
          <w:r>
            <w:rPr>
              <w:color w:val="auto"/>
            </w:rPr>
            <w:fldChar w:fldCharType="separate"/>
          </w:r>
          <w:r>
            <w:rPr>
              <w:color w:val="auto"/>
            </w:rPr>
            <w:t>12</w:t>
          </w:r>
          <w:r>
            <w:rPr>
              <w:color w:val="auto"/>
            </w:rPr>
            <w:fldChar w:fldCharType="end"/>
          </w:r>
          <w:r>
            <w:rPr>
              <w:color w:val="auto"/>
            </w:rPr>
            <w:fldChar w:fldCharType="end"/>
          </w:r>
        </w:p>
        <w:p>
          <w:pPr>
            <w:rPr>
              <w:rFonts w:asciiTheme="majorEastAsia" w:hAnsiTheme="majorEastAsia" w:eastAsiaTheme="majorEastAsia"/>
              <w:color w:val="auto"/>
            </w:rPr>
          </w:pPr>
          <w:r>
            <w:rPr>
              <w:rFonts w:asciiTheme="majorEastAsia" w:hAnsiTheme="majorEastAsia" w:eastAsiaTheme="majorEastAsia"/>
              <w:b/>
              <w:bCs/>
              <w:color w:val="auto"/>
              <w:lang w:val="zh-CN"/>
            </w:rPr>
            <w:fldChar w:fldCharType="end"/>
          </w:r>
        </w:p>
      </w:sdtContent>
    </w:sdt>
    <w:p>
      <w:pPr>
        <w:widowControl/>
        <w:jc w:val="left"/>
        <w:rPr>
          <w:rFonts w:cs="黑体" w:asciiTheme="majorEastAsia" w:hAnsiTheme="majorEastAsia" w:eastAsiaTheme="majorEastAsia"/>
          <w:color w:val="auto"/>
          <w:kern w:val="0"/>
          <w:sz w:val="24"/>
          <w:szCs w:val="52"/>
        </w:rPr>
      </w:pPr>
      <w:r>
        <w:rPr>
          <w:rFonts w:cs="黑体" w:asciiTheme="majorEastAsia" w:hAnsiTheme="majorEastAsia" w:eastAsiaTheme="majorEastAsia"/>
          <w:color w:val="auto"/>
          <w:sz w:val="24"/>
          <w:szCs w:val="52"/>
        </w:rPr>
        <w:br w:type="page"/>
      </w:r>
    </w:p>
    <w:p>
      <w:pPr>
        <w:pStyle w:val="2"/>
        <w:spacing w:before="0" w:line="360" w:lineRule="auto"/>
        <w:rPr>
          <w:rFonts w:asciiTheme="majorEastAsia" w:hAnsiTheme="majorEastAsia" w:eastAsiaTheme="majorEastAsia"/>
          <w:color w:val="auto"/>
          <w:sz w:val="24"/>
          <w:szCs w:val="24"/>
        </w:rPr>
      </w:pPr>
      <w:bookmarkStart w:id="0" w:name="_Toc10895725"/>
      <w:bookmarkStart w:id="1" w:name="_Toc366153749"/>
      <w:r>
        <w:rPr>
          <w:rFonts w:hint="eastAsia" w:asciiTheme="majorEastAsia" w:hAnsiTheme="majorEastAsia" w:eastAsiaTheme="majorEastAsia"/>
          <w:color w:val="auto"/>
          <w:sz w:val="24"/>
          <w:szCs w:val="24"/>
        </w:rPr>
        <w:t>1 总则</w:t>
      </w:r>
      <w:bookmarkEnd w:id="0"/>
      <w:bookmarkEnd w:id="1"/>
    </w:p>
    <w:p>
      <w:pPr>
        <w:pStyle w:val="3"/>
        <w:numPr>
          <w:ilvl w:val="1"/>
          <w:numId w:val="1"/>
        </w:numPr>
        <w:tabs>
          <w:tab w:val="left" w:pos="560"/>
        </w:tabs>
        <w:adjustRightInd w:val="0"/>
        <w:spacing w:before="0" w:after="0" w:line="360" w:lineRule="auto"/>
        <w:textAlignment w:val="baseline"/>
        <w:rPr>
          <w:rFonts w:asciiTheme="majorEastAsia" w:hAnsiTheme="majorEastAsia"/>
          <w:color w:val="auto"/>
          <w:sz w:val="24"/>
          <w:szCs w:val="24"/>
        </w:rPr>
      </w:pPr>
      <w:bookmarkStart w:id="2" w:name="_Toc344628432"/>
      <w:bookmarkStart w:id="3" w:name="_Toc366153750"/>
      <w:bookmarkStart w:id="4" w:name="_Toc10895726"/>
      <w:bookmarkStart w:id="5" w:name="_Toc114028928"/>
      <w:r>
        <w:rPr>
          <w:rFonts w:hint="eastAsia" w:asciiTheme="majorEastAsia" w:hAnsiTheme="majorEastAsia"/>
          <w:color w:val="auto"/>
          <w:sz w:val="24"/>
          <w:szCs w:val="24"/>
        </w:rPr>
        <w:t>一般规定</w:t>
      </w:r>
      <w:bookmarkEnd w:id="2"/>
      <w:bookmarkEnd w:id="3"/>
      <w:bookmarkEnd w:id="4"/>
      <w:bookmarkEnd w:id="5"/>
      <w:bookmarkStart w:id="6" w:name="_Toc114028929"/>
      <w:bookmarkStart w:id="7" w:name="_Toc344628433"/>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1.1.1投标人应具备招标公告所要求的注册资金及资质，具体资质要求详见招标文件的商务部分。</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1.1.2投标</w:t>
      </w:r>
      <w:r>
        <w:rPr>
          <w:rFonts w:asciiTheme="minorEastAsia" w:hAnsiTheme="minorEastAsia"/>
          <w:color w:val="auto"/>
          <w:sz w:val="24"/>
          <w:szCs w:val="24"/>
        </w:rPr>
        <w:t>人</w:t>
      </w:r>
      <w:r>
        <w:rPr>
          <w:rFonts w:hint="eastAsia" w:asciiTheme="minorEastAsia" w:hAnsiTheme="minorEastAsia"/>
          <w:color w:val="auto"/>
          <w:sz w:val="24"/>
          <w:szCs w:val="24"/>
        </w:rPr>
        <w:t>应仔细阅读</w:t>
      </w:r>
      <w:r>
        <w:rPr>
          <w:rFonts w:asciiTheme="minorEastAsia" w:hAnsiTheme="minorEastAsia"/>
          <w:color w:val="auto"/>
          <w:sz w:val="24"/>
          <w:szCs w:val="24"/>
        </w:rPr>
        <w:t>本技术规范书在内的招标文件阐述的全部条款</w:t>
      </w:r>
      <w:r>
        <w:rPr>
          <w:rFonts w:hint="eastAsia" w:asciiTheme="minorEastAsia" w:hAnsiTheme="minorEastAsia"/>
          <w:color w:val="auto"/>
          <w:sz w:val="24"/>
          <w:szCs w:val="24"/>
        </w:rPr>
        <w:t>。投标</w:t>
      </w:r>
      <w:r>
        <w:rPr>
          <w:rFonts w:asciiTheme="minorEastAsia" w:hAnsiTheme="minorEastAsia"/>
          <w:color w:val="auto"/>
          <w:sz w:val="24"/>
          <w:szCs w:val="24"/>
        </w:rPr>
        <w:t>人</w:t>
      </w:r>
      <w:r>
        <w:rPr>
          <w:rFonts w:hint="eastAsia" w:asciiTheme="minorEastAsia" w:hAnsiTheme="minorEastAsia"/>
          <w:color w:val="auto"/>
          <w:sz w:val="24"/>
          <w:szCs w:val="24"/>
        </w:rPr>
        <w:t>提供的变电站火灾预警系统技术方案应</w:t>
      </w:r>
      <w:r>
        <w:rPr>
          <w:rFonts w:asciiTheme="minorEastAsia" w:hAnsiTheme="minorEastAsia"/>
          <w:color w:val="auto"/>
          <w:sz w:val="24"/>
          <w:szCs w:val="24"/>
        </w:rPr>
        <w:t>符合</w:t>
      </w:r>
      <w:r>
        <w:rPr>
          <w:rFonts w:hint="eastAsia" w:asciiTheme="minorEastAsia" w:hAnsiTheme="minorEastAsia"/>
          <w:color w:val="auto"/>
          <w:sz w:val="24"/>
          <w:szCs w:val="24"/>
        </w:rPr>
        <w:t>本技术规范书</w:t>
      </w:r>
      <w:r>
        <w:rPr>
          <w:rFonts w:asciiTheme="minorEastAsia" w:hAnsiTheme="minorEastAsia"/>
          <w:color w:val="auto"/>
          <w:sz w:val="24"/>
          <w:szCs w:val="24"/>
        </w:rPr>
        <w:t>所规定的要求</w:t>
      </w:r>
      <w:r>
        <w:rPr>
          <w:rFonts w:hint="eastAsia" w:asciiTheme="minorEastAsia" w:hAnsiTheme="minorEastAsia"/>
          <w:color w:val="auto"/>
          <w:sz w:val="24"/>
          <w:szCs w:val="24"/>
        </w:rPr>
        <w:t>。</w:t>
      </w:r>
    </w:p>
    <w:p>
      <w:pPr>
        <w:pStyle w:val="9"/>
        <w:spacing w:line="360" w:lineRule="auto"/>
        <w:rPr>
          <w:rFonts w:asciiTheme="minorEastAsia" w:hAnsiTheme="minorEastAsia"/>
          <w:color w:val="auto"/>
          <w:sz w:val="24"/>
          <w:szCs w:val="24"/>
        </w:rPr>
      </w:pPr>
      <w:r>
        <w:rPr>
          <w:rFonts w:hint="eastAsia" w:asciiTheme="minorEastAsia" w:hAnsiTheme="minorEastAsia"/>
          <w:color w:val="auto"/>
          <w:sz w:val="24"/>
          <w:szCs w:val="24"/>
        </w:rPr>
        <w:t>1.1.</w:t>
      </w:r>
      <w:r>
        <w:rPr>
          <w:rFonts w:asciiTheme="minorEastAsia" w:hAnsiTheme="minorEastAsia"/>
          <w:color w:val="auto"/>
          <w:sz w:val="24"/>
          <w:szCs w:val="24"/>
        </w:rPr>
        <w:t>3</w:t>
      </w:r>
      <w:r>
        <w:rPr>
          <w:rFonts w:hint="eastAsia" w:asciiTheme="minorEastAsia" w:hAnsiTheme="minorEastAsia"/>
          <w:color w:val="auto"/>
          <w:sz w:val="24"/>
          <w:szCs w:val="24"/>
        </w:rPr>
        <w:t>如果投标人没有以书面形式对本技术规范书的条款提出异议，则意味着投标人提供的</w:t>
      </w:r>
      <w:r>
        <w:rPr>
          <w:rFonts w:hint="eastAsia" w:asciiTheme="minorEastAsia" w:hAnsiTheme="minorEastAsia"/>
          <w:color w:val="auto"/>
          <w:sz w:val="24"/>
          <w:szCs w:val="24"/>
          <w:lang w:eastAsia="zh-CN"/>
        </w:rPr>
        <w:t>超早期火灾预警系统</w:t>
      </w:r>
      <w:r>
        <w:rPr>
          <w:rFonts w:hint="eastAsia" w:asciiTheme="minorEastAsia" w:hAnsiTheme="minorEastAsia"/>
          <w:color w:val="auto"/>
          <w:sz w:val="24"/>
          <w:szCs w:val="24"/>
        </w:rPr>
        <w:t>技术方案完全符合本技术规范书的要求。如有与本招标文件要求不一致的地方，必须逐项在“技术差异表”中列出。</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1.1.4变电站火灾预警技术方案应根据现行国家、行业、国家电网公司企业标准及有关技术文件，按计划工期要求进行。</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1.1.</w:t>
      </w:r>
      <w:r>
        <w:rPr>
          <w:rFonts w:asciiTheme="minorEastAsia" w:hAnsiTheme="minorEastAsia"/>
          <w:color w:val="auto"/>
          <w:sz w:val="24"/>
          <w:szCs w:val="24"/>
        </w:rPr>
        <w:t>5</w:t>
      </w:r>
      <w:r>
        <w:rPr>
          <w:rFonts w:hint="eastAsia" w:asciiTheme="minorEastAsia" w:hAnsiTheme="minorEastAsia"/>
          <w:color w:val="auto"/>
          <w:sz w:val="24"/>
          <w:szCs w:val="24"/>
        </w:rPr>
        <w:t>投标人应提供符合本技术规范引用标准的最新版本标准和本招标文件技术要求的全新技术。本技术规范提出的是最低限度的技术要求，并未对一切技术细节做出规定，也未充分引述有关标准和规范的条文。</w:t>
      </w:r>
    </w:p>
    <w:p>
      <w:pPr>
        <w:pStyle w:val="9"/>
        <w:spacing w:line="360" w:lineRule="auto"/>
        <w:rPr>
          <w:rFonts w:asciiTheme="minorEastAsia" w:hAnsiTheme="minorEastAsia"/>
          <w:color w:val="auto"/>
          <w:sz w:val="24"/>
          <w:szCs w:val="24"/>
        </w:rPr>
      </w:pPr>
      <w:r>
        <w:rPr>
          <w:rFonts w:hint="eastAsia" w:asciiTheme="minorEastAsia" w:hAnsiTheme="minorEastAsia"/>
          <w:color w:val="auto"/>
          <w:sz w:val="24"/>
          <w:szCs w:val="24"/>
        </w:rPr>
        <w:t>1.1.</w:t>
      </w:r>
      <w:r>
        <w:rPr>
          <w:rFonts w:asciiTheme="minorEastAsia" w:hAnsiTheme="minorEastAsia"/>
          <w:color w:val="auto"/>
          <w:sz w:val="24"/>
          <w:szCs w:val="24"/>
        </w:rPr>
        <w:t>6</w:t>
      </w:r>
      <w:r>
        <w:rPr>
          <w:rFonts w:hint="eastAsia" w:asciiTheme="minorEastAsia" w:hAnsiTheme="minorEastAsia"/>
          <w:color w:val="auto"/>
          <w:sz w:val="24"/>
          <w:szCs w:val="24"/>
        </w:rPr>
        <w:t>本技术规范将作为合同的附件，</w:t>
      </w:r>
      <w:r>
        <w:rPr>
          <w:rFonts w:asciiTheme="minorEastAsia" w:hAnsiTheme="minorEastAsia"/>
          <w:color w:val="auto"/>
          <w:sz w:val="24"/>
          <w:szCs w:val="24"/>
        </w:rPr>
        <w:t>与合同具有同等的法律效力</w:t>
      </w:r>
      <w:r>
        <w:rPr>
          <w:rFonts w:hint="eastAsia" w:asciiTheme="minorEastAsia" w:hAnsiTheme="minorEastAsia"/>
          <w:color w:val="auto"/>
          <w:sz w:val="24"/>
          <w:szCs w:val="24"/>
        </w:rPr>
        <w:t>。本技术规范未尽事宜，由合同签约双方在合同谈判时协商确定。</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1.1.</w:t>
      </w:r>
      <w:r>
        <w:rPr>
          <w:rFonts w:asciiTheme="minorEastAsia" w:hAnsiTheme="minorEastAsia"/>
          <w:color w:val="auto"/>
          <w:sz w:val="24"/>
          <w:szCs w:val="24"/>
        </w:rPr>
        <w:t>7本</w:t>
      </w:r>
      <w:r>
        <w:rPr>
          <w:rFonts w:hint="eastAsia" w:asciiTheme="minorEastAsia" w:hAnsiTheme="minorEastAsia"/>
          <w:color w:val="auto"/>
          <w:sz w:val="24"/>
          <w:szCs w:val="24"/>
        </w:rPr>
        <w:t>技术规范</w:t>
      </w:r>
      <w:r>
        <w:rPr>
          <w:rFonts w:asciiTheme="minorEastAsia" w:hAnsiTheme="minorEastAsia"/>
          <w:color w:val="auto"/>
          <w:sz w:val="24"/>
          <w:szCs w:val="24"/>
        </w:rPr>
        <w:t>中涉及有关商务方面的内容，如与招标文件的商务部分有矛盾时，以商务部分为准。</w:t>
      </w:r>
    </w:p>
    <w:p>
      <w:pPr>
        <w:pStyle w:val="3"/>
        <w:tabs>
          <w:tab w:val="left" w:pos="560"/>
        </w:tabs>
        <w:spacing w:line="360" w:lineRule="auto"/>
        <w:rPr>
          <w:rFonts w:asciiTheme="majorEastAsia" w:hAnsiTheme="majorEastAsia"/>
          <w:color w:val="auto"/>
          <w:sz w:val="24"/>
          <w:szCs w:val="24"/>
        </w:rPr>
      </w:pPr>
      <w:bookmarkStart w:id="8" w:name="_Toc366153751"/>
      <w:bookmarkStart w:id="9" w:name="_Toc10895727"/>
      <w:r>
        <w:rPr>
          <w:rFonts w:hint="eastAsia" w:asciiTheme="majorEastAsia" w:hAnsiTheme="majorEastAsia"/>
          <w:color w:val="auto"/>
          <w:sz w:val="24"/>
          <w:szCs w:val="24"/>
        </w:rPr>
        <w:t>1.2 投标人应提供的资格文件</w:t>
      </w:r>
      <w:bookmarkEnd w:id="6"/>
      <w:bookmarkEnd w:id="7"/>
      <w:bookmarkEnd w:id="8"/>
      <w:bookmarkEnd w:id="9"/>
      <w:bookmarkStart w:id="10" w:name="_Toc344628434"/>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1</w:t>
      </w:r>
      <w:r>
        <w:rPr>
          <w:rFonts w:hint="eastAsia" w:asciiTheme="minorEastAsia" w:hAnsiTheme="minorEastAsia"/>
          <w:color w:val="auto"/>
          <w:sz w:val="24"/>
          <w:szCs w:val="24"/>
        </w:rPr>
        <w:t>投标人应提供第三方出具的盖章版火灾预警系统的性能检测报告。</w:t>
      </w:r>
    </w:p>
    <w:p>
      <w:pPr>
        <w:pStyle w:val="7"/>
        <w:spacing w:line="360" w:lineRule="auto"/>
        <w:ind w:left="0" w:leftChars="0"/>
        <w:jc w:val="left"/>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2</w:t>
      </w:r>
      <w:r>
        <w:rPr>
          <w:rFonts w:hint="eastAsia" w:asciiTheme="minorEastAsia" w:hAnsiTheme="minorEastAsia"/>
          <w:color w:val="auto"/>
          <w:sz w:val="24"/>
          <w:szCs w:val="24"/>
        </w:rPr>
        <w:t>投标人应提供生产工艺和新技术介绍。</w:t>
      </w:r>
    </w:p>
    <w:p>
      <w:pPr>
        <w:pStyle w:val="7"/>
        <w:spacing w:line="360" w:lineRule="auto"/>
        <w:ind w:left="0" w:leftChars="0"/>
        <w:jc w:val="left"/>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3</w:t>
      </w:r>
      <w:r>
        <w:rPr>
          <w:rFonts w:hint="eastAsia" w:asciiTheme="minorEastAsia" w:hAnsiTheme="minorEastAsia"/>
          <w:color w:val="auto"/>
          <w:sz w:val="24"/>
          <w:szCs w:val="24"/>
        </w:rPr>
        <w:t>近三年以</w:t>
      </w:r>
      <w:r>
        <w:rPr>
          <w:rFonts w:asciiTheme="minorEastAsia" w:hAnsiTheme="minorEastAsia"/>
          <w:color w:val="auto"/>
          <w:sz w:val="24"/>
          <w:szCs w:val="24"/>
        </w:rPr>
        <w:t>来</w:t>
      </w:r>
      <w:r>
        <w:rPr>
          <w:rFonts w:hint="eastAsia" w:asciiTheme="minorEastAsia" w:hAnsiTheme="minorEastAsia"/>
          <w:color w:val="auto"/>
          <w:sz w:val="24"/>
          <w:szCs w:val="24"/>
        </w:rPr>
        <w:t>在国内供货合同执行过程中售后服务未有不良纪录。</w:t>
      </w:r>
    </w:p>
    <w:p>
      <w:pPr>
        <w:pStyle w:val="7"/>
        <w:spacing w:line="360" w:lineRule="auto"/>
        <w:ind w:left="0" w:leftChars="0"/>
        <w:jc w:val="left"/>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4</w:t>
      </w:r>
      <w:r>
        <w:rPr>
          <w:rFonts w:hint="eastAsia" w:asciiTheme="minorEastAsia" w:hAnsiTheme="minorEastAsia"/>
          <w:color w:val="auto"/>
          <w:sz w:val="24"/>
          <w:szCs w:val="24"/>
        </w:rPr>
        <w:t>近三年以</w:t>
      </w:r>
      <w:r>
        <w:rPr>
          <w:rFonts w:asciiTheme="minorEastAsia" w:hAnsiTheme="minorEastAsia"/>
          <w:color w:val="auto"/>
          <w:sz w:val="24"/>
          <w:szCs w:val="24"/>
        </w:rPr>
        <w:t>来</w:t>
      </w:r>
      <w:r>
        <w:rPr>
          <w:rFonts w:hint="eastAsia" w:asciiTheme="minorEastAsia" w:hAnsiTheme="minorEastAsia"/>
          <w:color w:val="auto"/>
          <w:sz w:val="24"/>
          <w:szCs w:val="24"/>
        </w:rPr>
        <w:t>在国内供货合同执行过程中未因严重质量问题而造成批量退货（同一合同10%及以上）。</w:t>
      </w:r>
    </w:p>
    <w:p>
      <w:pPr>
        <w:pStyle w:val="7"/>
        <w:spacing w:line="360" w:lineRule="auto"/>
        <w:ind w:left="0" w:leftChars="0"/>
        <w:jc w:val="left"/>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5</w:t>
      </w:r>
      <w:r>
        <w:rPr>
          <w:rFonts w:hint="eastAsia" w:asciiTheme="minorEastAsia" w:hAnsiTheme="minorEastAsia"/>
          <w:color w:val="auto"/>
          <w:sz w:val="24"/>
          <w:szCs w:val="24"/>
        </w:rPr>
        <w:t>近三年以</w:t>
      </w:r>
      <w:r>
        <w:rPr>
          <w:rFonts w:asciiTheme="minorEastAsia" w:hAnsiTheme="minorEastAsia"/>
          <w:color w:val="auto"/>
          <w:sz w:val="24"/>
          <w:szCs w:val="24"/>
        </w:rPr>
        <w:t>来</w:t>
      </w:r>
      <w:r>
        <w:rPr>
          <w:rFonts w:hint="eastAsia" w:asciiTheme="minorEastAsia" w:hAnsiTheme="minorEastAsia"/>
          <w:color w:val="auto"/>
          <w:sz w:val="24"/>
          <w:szCs w:val="24"/>
        </w:rPr>
        <w:t>在国内供货合同执行过程中未因施工拖延问题而严重影响项目进度。</w:t>
      </w:r>
    </w:p>
    <w:p>
      <w:pPr>
        <w:pStyle w:val="7"/>
        <w:spacing w:line="360" w:lineRule="auto"/>
        <w:ind w:left="0" w:leftChars="0"/>
        <w:jc w:val="left"/>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6</w:t>
      </w:r>
      <w:r>
        <w:rPr>
          <w:rFonts w:hint="eastAsia" w:asciiTheme="minorEastAsia" w:hAnsiTheme="minorEastAsia"/>
          <w:color w:val="auto"/>
          <w:sz w:val="24"/>
          <w:szCs w:val="24"/>
        </w:rPr>
        <w:t>近三年以</w:t>
      </w:r>
      <w:r>
        <w:rPr>
          <w:rFonts w:asciiTheme="minorEastAsia" w:hAnsiTheme="minorEastAsia"/>
          <w:color w:val="auto"/>
          <w:sz w:val="24"/>
          <w:szCs w:val="24"/>
        </w:rPr>
        <w:t>来</w:t>
      </w:r>
      <w:r>
        <w:rPr>
          <w:rFonts w:hint="eastAsia" w:asciiTheme="minorEastAsia" w:hAnsiTheme="minorEastAsia"/>
          <w:color w:val="auto"/>
          <w:sz w:val="24"/>
          <w:szCs w:val="24"/>
        </w:rPr>
        <w:t>在国内供货合同执行过程中未因技术及其它问题而未能通过业主验收。</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7</w:t>
      </w:r>
      <w:r>
        <w:rPr>
          <w:rFonts w:hint="eastAsia" w:asciiTheme="minorEastAsia" w:hAnsiTheme="minorEastAsia"/>
          <w:color w:val="auto"/>
          <w:sz w:val="24"/>
          <w:szCs w:val="24"/>
        </w:rPr>
        <w:t>有能力履行合同设备维护保养、修理及其他服务义务的文件。</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8</w:t>
      </w:r>
      <w:r>
        <w:rPr>
          <w:rFonts w:hint="eastAsia" w:asciiTheme="minorEastAsia" w:hAnsiTheme="minorEastAsia"/>
          <w:color w:val="auto"/>
          <w:sz w:val="24"/>
          <w:szCs w:val="24"/>
        </w:rPr>
        <w:t>所提供的组部件如需向第三方外购时，投标人应详细说明并就其质量做出承诺。</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1.2.</w:t>
      </w:r>
      <w:r>
        <w:rPr>
          <w:rFonts w:asciiTheme="minorEastAsia" w:hAnsiTheme="minorEastAsia"/>
          <w:color w:val="auto"/>
          <w:sz w:val="24"/>
          <w:szCs w:val="24"/>
        </w:rPr>
        <w:t>9</w:t>
      </w:r>
      <w:r>
        <w:rPr>
          <w:rFonts w:hint="eastAsia" w:asciiTheme="minorEastAsia" w:hAnsiTheme="minorEastAsia"/>
          <w:color w:val="auto"/>
          <w:sz w:val="24"/>
          <w:szCs w:val="24"/>
        </w:rPr>
        <w:t>投标人提供的所有以上文件均应有中文版本。</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除以上内容外，投</w:t>
      </w:r>
      <w:r>
        <w:rPr>
          <w:rFonts w:asciiTheme="minorEastAsia" w:hAnsiTheme="minorEastAsia"/>
          <w:color w:val="auto"/>
          <w:sz w:val="24"/>
          <w:szCs w:val="24"/>
        </w:rPr>
        <w:t>标人</w:t>
      </w:r>
      <w:r>
        <w:rPr>
          <w:rFonts w:hint="eastAsia" w:asciiTheme="minorEastAsia" w:hAnsiTheme="minorEastAsia"/>
          <w:color w:val="auto"/>
          <w:sz w:val="24"/>
          <w:szCs w:val="24"/>
        </w:rPr>
        <w:t>应对本技术规范书要求的其它内容明确应答或明确承诺。如果需要的话，投标</w:t>
      </w:r>
      <w:r>
        <w:rPr>
          <w:rFonts w:asciiTheme="minorEastAsia" w:hAnsiTheme="minorEastAsia"/>
          <w:color w:val="auto"/>
          <w:sz w:val="24"/>
          <w:szCs w:val="24"/>
        </w:rPr>
        <w:t>人</w:t>
      </w:r>
      <w:r>
        <w:rPr>
          <w:rFonts w:hint="eastAsia" w:asciiTheme="minorEastAsia" w:hAnsiTheme="minorEastAsia"/>
          <w:color w:val="auto"/>
          <w:sz w:val="24"/>
          <w:szCs w:val="24"/>
        </w:rPr>
        <w:t>应免费提交业主要求的供评标用的补充数据和资料。</w:t>
      </w:r>
    </w:p>
    <w:p>
      <w:pPr>
        <w:pStyle w:val="3"/>
        <w:tabs>
          <w:tab w:val="left" w:pos="560"/>
        </w:tabs>
        <w:spacing w:line="360" w:lineRule="auto"/>
        <w:rPr>
          <w:rFonts w:asciiTheme="majorEastAsia" w:hAnsiTheme="majorEastAsia"/>
          <w:color w:val="auto"/>
          <w:sz w:val="24"/>
          <w:szCs w:val="24"/>
        </w:rPr>
      </w:pPr>
      <w:bookmarkStart w:id="11" w:name="_Toc10895728"/>
      <w:bookmarkStart w:id="12" w:name="_Toc366153752"/>
      <w:r>
        <w:rPr>
          <w:rFonts w:hint="eastAsia" w:asciiTheme="majorEastAsia" w:hAnsiTheme="majorEastAsia"/>
          <w:color w:val="auto"/>
          <w:sz w:val="24"/>
          <w:szCs w:val="24"/>
        </w:rPr>
        <w:t>1.3工作范围和进度</w:t>
      </w:r>
      <w:bookmarkEnd w:id="10"/>
      <w:bookmarkStart w:id="13" w:name="_Toc344628435"/>
      <w:r>
        <w:rPr>
          <w:rFonts w:hint="eastAsia" w:asciiTheme="majorEastAsia" w:hAnsiTheme="majorEastAsia"/>
          <w:color w:val="auto"/>
          <w:sz w:val="24"/>
          <w:szCs w:val="24"/>
        </w:rPr>
        <w:t>要求</w:t>
      </w:r>
      <w:bookmarkEnd w:id="11"/>
      <w:bookmarkEnd w:id="12"/>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1.3.1投标人的工作范围如下：本项目所委托提供的变电站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系统的设计、改造、调试、维护及售后服务。</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1.3.2</w:t>
      </w:r>
      <w:r>
        <w:rPr>
          <w:rFonts w:asciiTheme="minorEastAsia" w:hAnsiTheme="minorEastAsia"/>
          <w:color w:val="auto"/>
          <w:sz w:val="24"/>
          <w:szCs w:val="24"/>
        </w:rPr>
        <w:t>根据</w:t>
      </w:r>
      <w:r>
        <w:rPr>
          <w:rFonts w:hint="eastAsia" w:asciiTheme="minorEastAsia" w:hAnsiTheme="minorEastAsia"/>
          <w:color w:val="auto"/>
          <w:sz w:val="24"/>
          <w:szCs w:val="24"/>
        </w:rPr>
        <w:t>项目实</w:t>
      </w:r>
      <w:r>
        <w:rPr>
          <w:rFonts w:asciiTheme="minorEastAsia" w:hAnsiTheme="minorEastAsia"/>
          <w:color w:val="auto"/>
          <w:sz w:val="24"/>
          <w:szCs w:val="24"/>
        </w:rPr>
        <w:t>际情况和业主要求</w:t>
      </w:r>
      <w:r>
        <w:rPr>
          <w:rFonts w:hint="eastAsia" w:asciiTheme="minorEastAsia" w:hAnsiTheme="minorEastAsia"/>
          <w:color w:val="auto"/>
          <w:sz w:val="24"/>
          <w:szCs w:val="24"/>
        </w:rPr>
        <w:t>，投标人负责相关培训。</w:t>
      </w:r>
    </w:p>
    <w:p>
      <w:pPr>
        <w:spacing w:line="360" w:lineRule="auto"/>
        <w:rPr>
          <w:rFonts w:asciiTheme="minorEastAsia" w:hAnsiTheme="minorEastAsia"/>
          <w:color w:val="auto"/>
          <w:sz w:val="24"/>
          <w:szCs w:val="24"/>
        </w:rPr>
      </w:pPr>
      <w:r>
        <w:rPr>
          <w:rFonts w:asciiTheme="minorEastAsia" w:hAnsiTheme="minorEastAsia"/>
          <w:color w:val="auto"/>
          <w:sz w:val="24"/>
          <w:szCs w:val="24"/>
        </w:rPr>
        <w:t>1.3.3</w:t>
      </w:r>
      <w:r>
        <w:rPr>
          <w:rFonts w:hint="eastAsia" w:asciiTheme="minorEastAsia" w:hAnsiTheme="minorEastAsia"/>
          <w:color w:val="auto"/>
          <w:sz w:val="24"/>
          <w:szCs w:val="24"/>
        </w:rPr>
        <w:t>投标人应在合同签订后2周内向业主提交一份生产进度表和培训进度计划。生产进度表应以图表形式详细说明设计、材料采购、制造、试验、检验、装运、安装、调试等工作的进度控制，并制订相应的风险控制措施。</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1.3.</w:t>
      </w:r>
      <w:r>
        <w:rPr>
          <w:rFonts w:asciiTheme="minorEastAsia" w:hAnsiTheme="minorEastAsia"/>
          <w:color w:val="auto"/>
          <w:sz w:val="24"/>
          <w:szCs w:val="24"/>
        </w:rPr>
        <w:t>4</w:t>
      </w:r>
      <w:r>
        <w:rPr>
          <w:rFonts w:hint="eastAsia" w:asciiTheme="minorEastAsia" w:hAnsiTheme="minorEastAsia"/>
          <w:color w:val="auto"/>
          <w:sz w:val="24"/>
          <w:szCs w:val="24"/>
        </w:rPr>
        <w:t>项目进度如有延误，投标人应及时将延误进度的原因、后果及采取的补救措施等向业主说明。</w:t>
      </w:r>
    </w:p>
    <w:p>
      <w:pPr>
        <w:pStyle w:val="3"/>
        <w:tabs>
          <w:tab w:val="left" w:pos="560"/>
        </w:tabs>
        <w:spacing w:line="360" w:lineRule="auto"/>
        <w:rPr>
          <w:rFonts w:asciiTheme="majorEastAsia" w:hAnsiTheme="majorEastAsia"/>
          <w:color w:val="auto"/>
          <w:sz w:val="24"/>
          <w:szCs w:val="24"/>
        </w:rPr>
      </w:pPr>
      <w:bookmarkStart w:id="14" w:name="_Toc10895729"/>
      <w:bookmarkStart w:id="15" w:name="_Toc366153753"/>
      <w:r>
        <w:rPr>
          <w:rFonts w:hint="eastAsia" w:asciiTheme="majorEastAsia" w:hAnsiTheme="majorEastAsia"/>
          <w:color w:val="auto"/>
          <w:sz w:val="24"/>
          <w:szCs w:val="24"/>
        </w:rPr>
        <w:t>1.4技术资料和试验报告</w:t>
      </w:r>
      <w:bookmarkEnd w:id="13"/>
      <w:bookmarkEnd w:id="14"/>
      <w:bookmarkEnd w:id="15"/>
      <w:bookmarkStart w:id="16" w:name="_Toc344628436"/>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1.4.1技术资料</w:t>
      </w:r>
    </w:p>
    <w:p>
      <w:pPr>
        <w:spacing w:line="360" w:lineRule="auto"/>
        <w:ind w:firstLine="480" w:firstLineChars="200"/>
        <w:rPr>
          <w:rFonts w:hint="eastAsia" w:asciiTheme="minorEastAsia" w:hAnsiTheme="minorEastAsia"/>
          <w:color w:val="auto"/>
          <w:sz w:val="24"/>
          <w:szCs w:val="24"/>
        </w:rPr>
      </w:pPr>
      <w:r>
        <w:rPr>
          <w:rFonts w:hint="eastAsia" w:asciiTheme="minorEastAsia" w:hAnsiTheme="minorEastAsia"/>
          <w:color w:val="auto"/>
          <w:sz w:val="24"/>
          <w:szCs w:val="24"/>
        </w:rPr>
        <w:t>投标人应提供</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系统的设计</w:t>
      </w:r>
      <w:r>
        <w:rPr>
          <w:rFonts w:hint="eastAsia" w:asciiTheme="minorEastAsia" w:hAnsiTheme="minorEastAsia"/>
          <w:color w:val="auto"/>
          <w:sz w:val="24"/>
          <w:szCs w:val="24"/>
        </w:rPr>
        <w:t>报告。</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1.4.</w:t>
      </w:r>
      <w:r>
        <w:rPr>
          <w:rFonts w:asciiTheme="minorEastAsia" w:hAnsiTheme="minorEastAsia"/>
          <w:color w:val="auto"/>
          <w:sz w:val="24"/>
          <w:szCs w:val="24"/>
        </w:rPr>
        <w:t>2</w:t>
      </w:r>
      <w:r>
        <w:rPr>
          <w:rFonts w:hint="eastAsia" w:asciiTheme="minorEastAsia" w:hAnsiTheme="minorEastAsia"/>
          <w:color w:val="auto"/>
          <w:sz w:val="24"/>
          <w:szCs w:val="24"/>
        </w:rPr>
        <w:t>出厂资料</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设备在出厂时，投标人应提供下列文件：</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（1）装箱清单表，一式1份；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（2）产品说明书，一式</w:t>
      </w:r>
      <w:r>
        <w:rPr>
          <w:rFonts w:asciiTheme="minorEastAsia" w:hAnsiTheme="minorEastAsia"/>
          <w:color w:val="auto"/>
          <w:sz w:val="24"/>
          <w:szCs w:val="24"/>
        </w:rPr>
        <w:t>2</w:t>
      </w:r>
      <w:r>
        <w:rPr>
          <w:rFonts w:hint="eastAsia" w:asciiTheme="minorEastAsia" w:hAnsiTheme="minorEastAsia"/>
          <w:color w:val="auto"/>
          <w:sz w:val="24"/>
          <w:szCs w:val="24"/>
        </w:rPr>
        <w:t>份，应包括下列各项：型号、结构、技术参数、执行标准等；</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 xml:space="preserve">（3）型式试验报告，一式2份，具体试验项目包括外壳防护等级、电磁兼容、工作环境温度试验、静电放电抗扰度试验、射频电磁场抗扰度试验、工频磁场抗扰度试验等；  </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（4）出厂检验报告，一式2份，出厂检验项目应包括但不限于：结构和外观检验、性能指标检验、功能验证检验；</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（5）出厂合格证，一式1份；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（6）操作手册，一式2份；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（7）维护手册，一式</w:t>
      </w:r>
      <w:r>
        <w:rPr>
          <w:rFonts w:asciiTheme="minorEastAsia" w:hAnsiTheme="minorEastAsia"/>
          <w:color w:val="auto"/>
          <w:sz w:val="24"/>
          <w:szCs w:val="24"/>
        </w:rPr>
        <w:t>2</w:t>
      </w:r>
      <w:r>
        <w:rPr>
          <w:rFonts w:hint="eastAsia" w:asciiTheme="minorEastAsia" w:hAnsiTheme="minorEastAsia"/>
          <w:color w:val="auto"/>
          <w:sz w:val="24"/>
          <w:szCs w:val="24"/>
        </w:rPr>
        <w:t>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（8）设计变更说明，一式2份（含修改后的安装说明）；</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（9）备品备件清单，一式1份；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(10) 使用及维护说明光盘,一张。</w:t>
      </w:r>
    </w:p>
    <w:p>
      <w:pPr>
        <w:pStyle w:val="3"/>
        <w:tabs>
          <w:tab w:val="left" w:pos="560"/>
        </w:tabs>
        <w:spacing w:line="360" w:lineRule="auto"/>
        <w:rPr>
          <w:rFonts w:asciiTheme="majorEastAsia" w:hAnsiTheme="majorEastAsia"/>
          <w:color w:val="auto"/>
          <w:sz w:val="24"/>
          <w:szCs w:val="24"/>
        </w:rPr>
      </w:pPr>
      <w:bookmarkStart w:id="17" w:name="_Toc10895730"/>
      <w:bookmarkStart w:id="18" w:name="_Toc366153754"/>
      <w:r>
        <w:rPr>
          <w:rFonts w:hint="eastAsia" w:asciiTheme="majorEastAsia" w:hAnsiTheme="majorEastAsia"/>
          <w:color w:val="auto"/>
          <w:sz w:val="24"/>
          <w:szCs w:val="24"/>
        </w:rPr>
        <w:t>1.5标准和规范</w:t>
      </w:r>
      <w:bookmarkEnd w:id="16"/>
      <w:bookmarkEnd w:id="17"/>
      <w:bookmarkEnd w:id="18"/>
      <w:bookmarkStart w:id="19" w:name="_Toc126130480"/>
      <w:bookmarkStart w:id="20" w:name="_Toc344628437"/>
    </w:p>
    <w:p>
      <w:pPr>
        <w:spacing w:line="360" w:lineRule="auto"/>
        <w:ind w:firstLine="480" w:firstLineChars="200"/>
        <w:rPr>
          <w:rFonts w:asciiTheme="minorEastAsia" w:hAnsiTheme="minorEastAsia"/>
          <w:color w:val="auto"/>
          <w:sz w:val="24"/>
          <w:szCs w:val="24"/>
        </w:rPr>
      </w:pPr>
      <w:r>
        <w:rPr>
          <w:rFonts w:asciiTheme="minorEastAsia" w:hAnsiTheme="minorEastAsia"/>
          <w:color w:val="auto"/>
          <w:sz w:val="24"/>
          <w:szCs w:val="24"/>
        </w:rPr>
        <w:t>合同设备包括</w:t>
      </w:r>
      <w:r>
        <w:rPr>
          <w:rFonts w:hint="eastAsia" w:asciiTheme="minorEastAsia" w:hAnsiTheme="minorEastAsia"/>
          <w:color w:val="auto"/>
          <w:sz w:val="24"/>
          <w:szCs w:val="24"/>
        </w:rPr>
        <w:t>投标人</w:t>
      </w:r>
      <w:r>
        <w:rPr>
          <w:rFonts w:asciiTheme="minorEastAsia" w:hAnsiTheme="minorEastAsia"/>
          <w:color w:val="auto"/>
          <w:sz w:val="24"/>
          <w:szCs w:val="24"/>
        </w:rPr>
        <w:t>向其他厂商购买的所有附件和设备，这些附件和设备应符合相应的标准规范或技术条件的最新版本或其修正本的要求，除非另有特别说明，将包括在生产期内有效的任何修正和补充。</w:t>
      </w:r>
    </w:p>
    <w:p>
      <w:pPr>
        <w:pStyle w:val="3"/>
        <w:tabs>
          <w:tab w:val="left" w:pos="560"/>
        </w:tabs>
        <w:spacing w:line="360" w:lineRule="auto"/>
        <w:rPr>
          <w:rFonts w:ascii="宋体" w:hAnsi="宋体"/>
          <w:color w:val="auto"/>
          <w:sz w:val="24"/>
        </w:rPr>
      </w:pPr>
      <w:bookmarkStart w:id="21" w:name="_Toc10895731"/>
      <w:bookmarkStart w:id="22" w:name="_Toc354689150"/>
      <w:bookmarkStart w:id="23" w:name="_Toc366153755"/>
      <w:r>
        <w:rPr>
          <w:rFonts w:hint="eastAsia" w:ascii="宋体" w:hAnsi="宋体"/>
          <w:color w:val="auto"/>
          <w:sz w:val="24"/>
        </w:rPr>
        <w:t>1.6备品备件</w:t>
      </w:r>
      <w:bookmarkEnd w:id="21"/>
      <w:bookmarkEnd w:id="22"/>
      <w:bookmarkEnd w:id="23"/>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1.6.1投标人</w:t>
      </w:r>
      <w:r>
        <w:rPr>
          <w:rFonts w:asciiTheme="minorEastAsia" w:hAnsiTheme="minorEastAsia"/>
          <w:color w:val="auto"/>
          <w:sz w:val="24"/>
          <w:szCs w:val="24"/>
        </w:rPr>
        <w:t>应提供必需的</w:t>
      </w:r>
      <w:r>
        <w:rPr>
          <w:rFonts w:hint="eastAsia" w:asciiTheme="minorEastAsia" w:hAnsiTheme="minorEastAsia"/>
          <w:color w:val="auto"/>
          <w:sz w:val="24"/>
          <w:szCs w:val="24"/>
        </w:rPr>
        <w:t>随机</w:t>
      </w:r>
      <w:r>
        <w:rPr>
          <w:rFonts w:asciiTheme="minorEastAsia" w:hAnsiTheme="minorEastAsia"/>
          <w:color w:val="auto"/>
          <w:sz w:val="24"/>
          <w:szCs w:val="24"/>
        </w:rPr>
        <w:t>备品备件，</w:t>
      </w:r>
      <w:r>
        <w:rPr>
          <w:rFonts w:hint="eastAsia" w:asciiTheme="minorEastAsia" w:hAnsiTheme="minorEastAsia"/>
          <w:color w:val="auto"/>
          <w:sz w:val="24"/>
          <w:szCs w:val="24"/>
        </w:rPr>
        <w:t>其</w:t>
      </w:r>
      <w:r>
        <w:rPr>
          <w:rFonts w:asciiTheme="minorEastAsia" w:hAnsiTheme="minorEastAsia"/>
          <w:color w:val="auto"/>
          <w:sz w:val="24"/>
          <w:szCs w:val="24"/>
        </w:rPr>
        <w:t>价款应包括在投标总价中。</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1.6.</w:t>
      </w:r>
      <w:r>
        <w:rPr>
          <w:rFonts w:asciiTheme="minorEastAsia" w:hAnsiTheme="minorEastAsia"/>
          <w:color w:val="auto"/>
          <w:sz w:val="24"/>
          <w:szCs w:val="24"/>
        </w:rPr>
        <w:t>2所有备品备件应为</w:t>
      </w:r>
      <w:r>
        <w:rPr>
          <w:rFonts w:hint="eastAsia" w:asciiTheme="minorEastAsia" w:hAnsiTheme="minorEastAsia"/>
          <w:color w:val="auto"/>
          <w:sz w:val="24"/>
          <w:szCs w:val="24"/>
        </w:rPr>
        <w:t>合格品</w:t>
      </w:r>
      <w:r>
        <w:rPr>
          <w:rFonts w:asciiTheme="minorEastAsia" w:hAnsiTheme="minorEastAsia"/>
          <w:color w:val="auto"/>
          <w:sz w:val="24"/>
          <w:szCs w:val="24"/>
        </w:rPr>
        <w:t>，与已经安装设备的相应部件能够互换，具有相同的技术规范和相同的规格、材质、制造工艺。</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1.6.</w:t>
      </w:r>
      <w:r>
        <w:rPr>
          <w:rFonts w:asciiTheme="minorEastAsia" w:hAnsiTheme="minorEastAsia"/>
          <w:color w:val="auto"/>
          <w:sz w:val="24"/>
          <w:szCs w:val="24"/>
        </w:rPr>
        <w:t>3所有备品备件应采取防尘、防潮、防止损坏等措施，并应与主设备一并发运，同时标注“备品备件”，以区别于与主设备安装用零部件。</w:t>
      </w:r>
    </w:p>
    <w:bookmarkEnd w:id="19"/>
    <w:bookmarkEnd w:id="20"/>
    <w:p>
      <w:pPr>
        <w:pStyle w:val="3"/>
        <w:tabs>
          <w:tab w:val="left" w:pos="560"/>
        </w:tabs>
        <w:spacing w:line="360" w:lineRule="auto"/>
        <w:rPr>
          <w:rFonts w:asciiTheme="majorEastAsia" w:hAnsiTheme="majorEastAsia"/>
          <w:color w:val="auto"/>
          <w:sz w:val="24"/>
          <w:szCs w:val="24"/>
        </w:rPr>
      </w:pPr>
      <w:bookmarkStart w:id="24" w:name="_Toc354689151"/>
      <w:bookmarkStart w:id="25" w:name="_Toc366153756"/>
      <w:bookmarkStart w:id="26" w:name="_Toc10895732"/>
      <w:r>
        <w:rPr>
          <w:rFonts w:hint="eastAsia" w:asciiTheme="majorEastAsia" w:hAnsiTheme="majorEastAsia"/>
          <w:color w:val="auto"/>
          <w:sz w:val="24"/>
          <w:szCs w:val="24"/>
        </w:rPr>
        <w:t>1</w:t>
      </w:r>
      <w:r>
        <w:rPr>
          <w:rFonts w:asciiTheme="majorEastAsia" w:hAnsiTheme="majorEastAsia"/>
          <w:color w:val="auto"/>
          <w:sz w:val="24"/>
          <w:szCs w:val="24"/>
        </w:rPr>
        <w:t>.7</w:t>
      </w:r>
      <w:r>
        <w:rPr>
          <w:rFonts w:hint="eastAsia" w:asciiTheme="majorEastAsia" w:hAnsiTheme="majorEastAsia"/>
          <w:color w:val="auto"/>
          <w:sz w:val="24"/>
          <w:szCs w:val="24"/>
        </w:rPr>
        <w:t>工具和仪器仪表</w:t>
      </w:r>
      <w:bookmarkEnd w:id="24"/>
      <w:bookmarkEnd w:id="25"/>
      <w:bookmarkEnd w:id="26"/>
    </w:p>
    <w:p>
      <w:pPr>
        <w:spacing w:line="360" w:lineRule="auto"/>
        <w:rPr>
          <w:rFonts w:asciiTheme="minorEastAsia" w:hAnsiTheme="minorEastAsia"/>
          <w:color w:val="auto"/>
          <w:sz w:val="24"/>
          <w:szCs w:val="24"/>
        </w:rPr>
      </w:pPr>
      <w:r>
        <w:rPr>
          <w:rFonts w:asciiTheme="minorEastAsia" w:hAnsiTheme="minorEastAsia"/>
          <w:color w:val="auto"/>
          <w:sz w:val="24"/>
          <w:szCs w:val="24"/>
        </w:rPr>
        <w:t>1.7.1</w:t>
      </w:r>
      <w:r>
        <w:rPr>
          <w:rFonts w:hint="eastAsia" w:asciiTheme="minorEastAsia" w:hAnsiTheme="minorEastAsia"/>
          <w:color w:val="auto"/>
          <w:sz w:val="24"/>
          <w:szCs w:val="24"/>
        </w:rPr>
        <w:t>投标人应提供火灾预警系统的零部件安装、拆卸、维修时必需的随机工具和仪器仪表，价款应包括在投标总价中。</w:t>
      </w:r>
    </w:p>
    <w:p>
      <w:pPr>
        <w:spacing w:line="360" w:lineRule="auto"/>
        <w:rPr>
          <w:rFonts w:asciiTheme="minorEastAsia" w:hAnsiTheme="minorEastAsia"/>
          <w:color w:val="auto"/>
          <w:sz w:val="24"/>
          <w:szCs w:val="24"/>
        </w:rPr>
      </w:pPr>
      <w:r>
        <w:rPr>
          <w:rFonts w:asciiTheme="minorEastAsia" w:hAnsiTheme="minorEastAsia"/>
          <w:color w:val="auto"/>
          <w:sz w:val="24"/>
          <w:szCs w:val="24"/>
        </w:rPr>
        <w:t>1.7.2</w:t>
      </w:r>
      <w:r>
        <w:rPr>
          <w:rFonts w:hint="eastAsia" w:asciiTheme="minorEastAsia" w:hAnsiTheme="minorEastAsia"/>
          <w:color w:val="auto"/>
          <w:sz w:val="24"/>
          <w:szCs w:val="24"/>
        </w:rPr>
        <w:t>投标人</w:t>
      </w:r>
      <w:r>
        <w:rPr>
          <w:rFonts w:asciiTheme="minorEastAsia" w:hAnsiTheme="minorEastAsia"/>
          <w:color w:val="auto"/>
          <w:sz w:val="24"/>
          <w:szCs w:val="24"/>
        </w:rPr>
        <w:t>应推荐可能使用的随机工具和仪器仪表。</w:t>
      </w:r>
    </w:p>
    <w:p>
      <w:pPr>
        <w:spacing w:line="360" w:lineRule="auto"/>
        <w:rPr>
          <w:rFonts w:asciiTheme="minorEastAsia" w:hAnsiTheme="minorEastAsia"/>
          <w:color w:val="auto"/>
          <w:sz w:val="24"/>
          <w:szCs w:val="24"/>
        </w:rPr>
      </w:pPr>
      <w:r>
        <w:rPr>
          <w:rFonts w:asciiTheme="minorEastAsia" w:hAnsiTheme="minorEastAsia"/>
          <w:color w:val="auto"/>
          <w:sz w:val="24"/>
          <w:szCs w:val="24"/>
        </w:rPr>
        <w:t>1.7.3所有随机工具和仪器仪表应是全新的、</w:t>
      </w:r>
      <w:r>
        <w:rPr>
          <w:rFonts w:hint="eastAsia" w:asciiTheme="minorEastAsia" w:hAnsiTheme="minorEastAsia"/>
          <w:color w:val="auto"/>
          <w:sz w:val="24"/>
          <w:szCs w:val="24"/>
        </w:rPr>
        <w:t>合格</w:t>
      </w:r>
      <w:r>
        <w:rPr>
          <w:rFonts w:asciiTheme="minorEastAsia" w:hAnsiTheme="minorEastAsia"/>
          <w:color w:val="auto"/>
          <w:sz w:val="24"/>
          <w:szCs w:val="24"/>
        </w:rPr>
        <w:t>的，且</w:t>
      </w:r>
      <w:r>
        <w:rPr>
          <w:rFonts w:hint="eastAsia" w:asciiTheme="minorEastAsia" w:hAnsiTheme="minorEastAsia"/>
          <w:color w:val="auto"/>
          <w:sz w:val="24"/>
          <w:szCs w:val="24"/>
        </w:rPr>
        <w:t>需</w:t>
      </w:r>
      <w:r>
        <w:rPr>
          <w:rFonts w:asciiTheme="minorEastAsia" w:hAnsiTheme="minorEastAsia"/>
          <w:color w:val="auto"/>
          <w:sz w:val="24"/>
          <w:szCs w:val="24"/>
        </w:rPr>
        <w:t>附完整、详细的使用说明资料。</w:t>
      </w:r>
    </w:p>
    <w:p>
      <w:pPr>
        <w:spacing w:line="360" w:lineRule="auto"/>
        <w:rPr>
          <w:rFonts w:asciiTheme="minorEastAsia" w:hAnsiTheme="minorEastAsia"/>
          <w:color w:val="auto"/>
          <w:sz w:val="24"/>
          <w:szCs w:val="24"/>
        </w:rPr>
      </w:pPr>
      <w:r>
        <w:rPr>
          <w:rFonts w:asciiTheme="minorEastAsia" w:hAnsiTheme="minorEastAsia"/>
          <w:color w:val="auto"/>
          <w:sz w:val="24"/>
          <w:szCs w:val="24"/>
        </w:rPr>
        <w:t>1.7.4随机工具和仪器仪表应装于专用的包装箱内，注明“随机工具”“仪器”“仪表”，并标明“防潮”、“防尘”、“易碎”、“向上”、“勿倒置”等字样，同主设备一并发运。</w:t>
      </w:r>
    </w:p>
    <w:p>
      <w:pPr>
        <w:spacing w:line="360" w:lineRule="auto"/>
        <w:rPr>
          <w:rFonts w:asciiTheme="minorEastAsia" w:hAnsiTheme="minorEastAsia"/>
          <w:color w:val="auto"/>
          <w:sz w:val="24"/>
          <w:szCs w:val="24"/>
        </w:rPr>
      </w:pPr>
      <w:r>
        <w:rPr>
          <w:rFonts w:asciiTheme="minorEastAsia" w:hAnsiTheme="minorEastAsia"/>
          <w:color w:val="auto"/>
          <w:sz w:val="24"/>
          <w:szCs w:val="24"/>
        </w:rPr>
        <w:t>向上”、“勿倒置”等字样，同主设备一并发运。</w:t>
      </w:r>
    </w:p>
    <w:p>
      <w:pPr>
        <w:spacing w:line="360" w:lineRule="auto"/>
        <w:rPr>
          <w:rFonts w:asciiTheme="minorEastAsia" w:hAnsiTheme="minorEastAsia"/>
          <w:color w:val="auto"/>
          <w:sz w:val="24"/>
          <w:szCs w:val="24"/>
        </w:rPr>
      </w:pPr>
    </w:p>
    <w:p>
      <w:pPr>
        <w:pStyle w:val="2"/>
        <w:spacing w:before="0" w:line="360" w:lineRule="auto"/>
        <w:rPr>
          <w:rFonts w:asciiTheme="majorEastAsia" w:hAnsiTheme="majorEastAsia" w:eastAsiaTheme="majorEastAsia"/>
          <w:color w:val="auto"/>
          <w:sz w:val="24"/>
          <w:szCs w:val="24"/>
        </w:rPr>
      </w:pPr>
      <w:bookmarkStart w:id="27" w:name="_Toc366153757"/>
      <w:bookmarkStart w:id="28" w:name="_Toc10895733"/>
      <w:r>
        <w:rPr>
          <w:rFonts w:hint="eastAsia" w:asciiTheme="majorEastAsia" w:hAnsiTheme="majorEastAsia" w:eastAsiaTheme="majorEastAsia"/>
          <w:color w:val="auto"/>
          <w:sz w:val="24"/>
          <w:szCs w:val="24"/>
        </w:rPr>
        <w:t>2</w:t>
      </w:r>
      <w:r>
        <w:rPr>
          <w:rFonts w:asciiTheme="majorEastAsia" w:hAnsiTheme="majorEastAsia" w:eastAsiaTheme="majorEastAsia"/>
          <w:color w:val="auto"/>
          <w:sz w:val="24"/>
          <w:szCs w:val="24"/>
        </w:rPr>
        <w:t xml:space="preserve"> </w:t>
      </w:r>
      <w:r>
        <w:rPr>
          <w:rFonts w:hint="eastAsia" w:asciiTheme="majorEastAsia" w:hAnsiTheme="majorEastAsia" w:eastAsiaTheme="majorEastAsia"/>
          <w:color w:val="auto"/>
          <w:sz w:val="24"/>
          <w:szCs w:val="24"/>
        </w:rPr>
        <w:t>技术要求和性能参数</w:t>
      </w:r>
      <w:bookmarkEnd w:id="27"/>
      <w:bookmarkEnd w:id="28"/>
    </w:p>
    <w:p>
      <w:pPr>
        <w:pStyle w:val="3"/>
        <w:tabs>
          <w:tab w:val="left" w:pos="560"/>
        </w:tabs>
        <w:spacing w:line="360" w:lineRule="auto"/>
        <w:rPr>
          <w:rFonts w:asciiTheme="majorEastAsia" w:hAnsiTheme="majorEastAsia"/>
          <w:color w:val="auto"/>
          <w:sz w:val="24"/>
          <w:szCs w:val="24"/>
        </w:rPr>
      </w:pPr>
      <w:bookmarkStart w:id="29" w:name="_Toc10895734"/>
      <w:bookmarkStart w:id="30" w:name="_Toc366153758"/>
      <w:bookmarkStart w:id="31" w:name="_Toc344628439"/>
      <w:r>
        <w:rPr>
          <w:rFonts w:hint="eastAsia" w:asciiTheme="majorEastAsia" w:hAnsiTheme="majorEastAsia"/>
          <w:color w:val="auto"/>
          <w:sz w:val="24"/>
          <w:szCs w:val="24"/>
        </w:rPr>
        <w:t>2.1一般规定</w:t>
      </w:r>
      <w:bookmarkEnd w:id="29"/>
      <w:bookmarkEnd w:id="30"/>
      <w:bookmarkEnd w:id="31"/>
    </w:p>
    <w:p>
      <w:pPr>
        <w:pStyle w:val="9"/>
        <w:spacing w:line="360" w:lineRule="auto"/>
        <w:rPr>
          <w:rFonts w:asciiTheme="minorEastAsia" w:hAnsiTheme="minorEastAsia"/>
          <w:color w:val="auto"/>
          <w:sz w:val="24"/>
          <w:szCs w:val="24"/>
        </w:rPr>
      </w:pPr>
      <w:r>
        <w:rPr>
          <w:rFonts w:hint="eastAsia" w:asciiTheme="minorEastAsia" w:hAnsiTheme="minorEastAsia"/>
          <w:color w:val="auto"/>
          <w:sz w:val="24"/>
          <w:szCs w:val="24"/>
        </w:rPr>
        <w:t>2.1.</w:t>
      </w:r>
      <w:r>
        <w:rPr>
          <w:rFonts w:asciiTheme="minorEastAsia" w:hAnsiTheme="minorEastAsia"/>
          <w:color w:val="auto"/>
          <w:sz w:val="24"/>
          <w:szCs w:val="24"/>
        </w:rPr>
        <w:t>1</w:t>
      </w:r>
      <w:r>
        <w:rPr>
          <w:rFonts w:hint="eastAsia" w:asciiTheme="minorEastAsia" w:hAnsiTheme="minorEastAsia"/>
          <w:color w:val="auto"/>
          <w:sz w:val="24"/>
          <w:szCs w:val="24"/>
        </w:rPr>
        <w:t>投标</w:t>
      </w:r>
      <w:r>
        <w:rPr>
          <w:rFonts w:asciiTheme="minorEastAsia" w:hAnsiTheme="minorEastAsia"/>
          <w:color w:val="auto"/>
          <w:sz w:val="24"/>
          <w:szCs w:val="24"/>
        </w:rPr>
        <w:t>人</w:t>
      </w:r>
      <w:r>
        <w:rPr>
          <w:rFonts w:hint="eastAsia" w:asciiTheme="minorEastAsia" w:hAnsiTheme="minorEastAsia"/>
          <w:color w:val="auto"/>
          <w:sz w:val="24"/>
          <w:szCs w:val="24"/>
        </w:rPr>
        <w:t>应根据所报价的标包中涉及的</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系统，对本章相应技术要求中的内容逐条进行响应。</w:t>
      </w:r>
    </w:p>
    <w:p>
      <w:pPr>
        <w:pStyle w:val="9"/>
        <w:spacing w:line="360" w:lineRule="auto"/>
        <w:rPr>
          <w:rFonts w:asciiTheme="minorEastAsia" w:hAnsiTheme="minorEastAsia"/>
          <w:color w:val="auto"/>
          <w:sz w:val="24"/>
          <w:szCs w:val="24"/>
        </w:rPr>
      </w:pPr>
      <w:r>
        <w:rPr>
          <w:rFonts w:hint="eastAsia" w:asciiTheme="minorEastAsia" w:hAnsiTheme="minorEastAsia"/>
          <w:color w:val="auto"/>
          <w:sz w:val="24"/>
          <w:szCs w:val="24"/>
        </w:rPr>
        <w:t>2.1.</w:t>
      </w:r>
      <w:r>
        <w:rPr>
          <w:rFonts w:asciiTheme="minorEastAsia" w:hAnsiTheme="minorEastAsia"/>
          <w:color w:val="auto"/>
          <w:sz w:val="24"/>
          <w:szCs w:val="24"/>
        </w:rPr>
        <w:t>2</w:t>
      </w:r>
      <w:r>
        <w:rPr>
          <w:rFonts w:hint="eastAsia" w:asciiTheme="minorEastAsia" w:hAnsiTheme="minorEastAsia"/>
          <w:color w:val="auto"/>
          <w:sz w:val="24"/>
          <w:szCs w:val="24"/>
        </w:rPr>
        <w:t>投标人应认真填写技术规范技术参数响应表。</w:t>
      </w:r>
    </w:p>
    <w:p>
      <w:pPr>
        <w:pStyle w:val="9"/>
        <w:spacing w:line="360" w:lineRule="auto"/>
        <w:rPr>
          <w:rFonts w:asciiTheme="minorEastAsia" w:hAnsiTheme="minorEastAsia"/>
          <w:color w:val="auto"/>
          <w:sz w:val="24"/>
          <w:szCs w:val="24"/>
        </w:rPr>
      </w:pPr>
      <w:r>
        <w:rPr>
          <w:rFonts w:hint="eastAsia" w:asciiTheme="minorEastAsia" w:hAnsiTheme="minorEastAsia"/>
          <w:color w:val="auto"/>
          <w:sz w:val="24"/>
          <w:szCs w:val="24"/>
        </w:rPr>
        <w:t>2.1.</w:t>
      </w:r>
      <w:r>
        <w:rPr>
          <w:rFonts w:asciiTheme="minorEastAsia" w:hAnsiTheme="minorEastAsia"/>
          <w:color w:val="auto"/>
          <w:sz w:val="24"/>
          <w:szCs w:val="24"/>
        </w:rPr>
        <w:t>3</w:t>
      </w:r>
      <w:r>
        <w:rPr>
          <w:rFonts w:hint="eastAsia" w:asciiTheme="minorEastAsia" w:hAnsiTheme="minorEastAsia"/>
          <w:color w:val="auto"/>
          <w:sz w:val="24"/>
          <w:szCs w:val="24"/>
        </w:rPr>
        <w:t>投标人提供的</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系统技术要求应与技术规范中规定的技术要求一致。如有偏差，投标人应如实、认真地填写偏差值；若无技术偏差则视为满足本技术要求的内容，且在技术偏差表中填写“无偏差”。技</w:t>
      </w:r>
      <w:r>
        <w:rPr>
          <w:rFonts w:asciiTheme="minorEastAsia" w:hAnsiTheme="minorEastAsia"/>
          <w:color w:val="auto"/>
          <w:sz w:val="24"/>
          <w:szCs w:val="24"/>
        </w:rPr>
        <w:t>术要求</w:t>
      </w:r>
      <w:r>
        <w:rPr>
          <w:rFonts w:hint="eastAsia" w:asciiTheme="minorEastAsia" w:hAnsiTheme="minorEastAsia"/>
          <w:color w:val="auto"/>
          <w:sz w:val="24"/>
          <w:szCs w:val="24"/>
        </w:rPr>
        <w:t>偏</w:t>
      </w:r>
      <w:r>
        <w:rPr>
          <w:rFonts w:asciiTheme="minorEastAsia" w:hAnsiTheme="minorEastAsia"/>
          <w:color w:val="auto"/>
          <w:sz w:val="24"/>
          <w:szCs w:val="24"/>
        </w:rPr>
        <w:t>差表见</w:t>
      </w:r>
      <w:r>
        <w:rPr>
          <w:rFonts w:hint="eastAsia" w:asciiTheme="minorEastAsia" w:hAnsiTheme="minorEastAsia"/>
          <w:color w:val="auto"/>
          <w:sz w:val="24"/>
          <w:szCs w:val="24"/>
        </w:rPr>
        <w:t>附录C。</w:t>
      </w:r>
    </w:p>
    <w:p>
      <w:pPr>
        <w:pStyle w:val="2"/>
        <w:spacing w:before="0" w:line="360" w:lineRule="auto"/>
        <w:rPr>
          <w:rFonts w:asciiTheme="majorEastAsia" w:hAnsiTheme="majorEastAsia" w:eastAsiaTheme="majorEastAsia"/>
          <w:color w:val="auto"/>
          <w:sz w:val="24"/>
          <w:szCs w:val="24"/>
        </w:rPr>
      </w:pPr>
      <w:bookmarkStart w:id="32" w:name="_Toc344628471"/>
      <w:bookmarkStart w:id="33" w:name="_Toc10895735"/>
      <w:bookmarkStart w:id="34" w:name="_Toc366153768"/>
      <w:r>
        <w:rPr>
          <w:rFonts w:asciiTheme="majorEastAsia" w:hAnsiTheme="majorEastAsia" w:eastAsiaTheme="majorEastAsia"/>
          <w:color w:val="auto"/>
          <w:sz w:val="24"/>
          <w:szCs w:val="24"/>
        </w:rPr>
        <w:t>3</w:t>
      </w:r>
      <w:r>
        <w:rPr>
          <w:rFonts w:hint="eastAsia" w:asciiTheme="majorEastAsia" w:hAnsiTheme="majorEastAsia" w:eastAsiaTheme="majorEastAsia"/>
          <w:color w:val="auto"/>
          <w:sz w:val="24"/>
          <w:szCs w:val="24"/>
        </w:rPr>
        <w:t xml:space="preserve"> </w:t>
      </w:r>
      <w:bookmarkEnd w:id="32"/>
      <w:bookmarkStart w:id="35" w:name="_Hlt114221259"/>
      <w:bookmarkEnd w:id="35"/>
      <w:r>
        <w:rPr>
          <w:rFonts w:hint="eastAsia" w:asciiTheme="majorEastAsia" w:hAnsiTheme="majorEastAsia" w:eastAsiaTheme="majorEastAsia"/>
          <w:color w:val="auto"/>
          <w:sz w:val="24"/>
          <w:szCs w:val="24"/>
        </w:rPr>
        <w:t>监造</w:t>
      </w:r>
      <w:bookmarkEnd w:id="33"/>
      <w:bookmarkEnd w:id="34"/>
    </w:p>
    <w:p>
      <w:pPr>
        <w:spacing w:line="440" w:lineRule="exact"/>
        <w:rPr>
          <w:rFonts w:asciiTheme="minorEastAsia" w:hAnsiTheme="minorEastAsia"/>
          <w:color w:val="auto"/>
          <w:sz w:val="24"/>
          <w:szCs w:val="24"/>
        </w:rPr>
      </w:pPr>
      <w:bookmarkStart w:id="36" w:name="_Toc114283084"/>
      <w:bookmarkStart w:id="37" w:name="_Toc344628474"/>
      <w:bookmarkStart w:id="38" w:name="_Toc97634579"/>
      <w:r>
        <w:rPr>
          <w:rFonts w:hint="eastAsia" w:asciiTheme="minorEastAsia" w:hAnsiTheme="minorEastAsia"/>
          <w:color w:val="auto"/>
          <w:sz w:val="24"/>
          <w:szCs w:val="24"/>
        </w:rPr>
        <w:t>见</w:t>
      </w:r>
      <w:r>
        <w:rPr>
          <w:rFonts w:hint="eastAsia" w:asciiTheme="minorEastAsia" w:hAnsiTheme="minorEastAsia"/>
          <w:color w:val="auto"/>
          <w:sz w:val="24"/>
          <w:szCs w:val="24"/>
          <w:lang w:eastAsia="zh-CN"/>
        </w:rPr>
        <w:t>服务</w:t>
      </w:r>
      <w:r>
        <w:rPr>
          <w:rFonts w:hint="eastAsia" w:asciiTheme="minorEastAsia" w:hAnsiTheme="minorEastAsia"/>
          <w:color w:val="auto"/>
          <w:sz w:val="24"/>
          <w:szCs w:val="24"/>
        </w:rPr>
        <w:t>合同。</w:t>
      </w:r>
    </w:p>
    <w:p>
      <w:pPr>
        <w:spacing w:line="440" w:lineRule="exact"/>
        <w:rPr>
          <w:rFonts w:asciiTheme="majorEastAsia" w:hAnsiTheme="majorEastAsia" w:eastAsiaTheme="majorEastAsia"/>
          <w:color w:val="auto"/>
          <w:sz w:val="24"/>
          <w:szCs w:val="24"/>
        </w:rPr>
      </w:pPr>
    </w:p>
    <w:p>
      <w:pPr>
        <w:pStyle w:val="2"/>
        <w:spacing w:before="0" w:line="360" w:lineRule="auto"/>
        <w:rPr>
          <w:rFonts w:asciiTheme="majorEastAsia" w:hAnsiTheme="majorEastAsia" w:eastAsiaTheme="majorEastAsia"/>
          <w:color w:val="auto"/>
          <w:sz w:val="24"/>
          <w:szCs w:val="24"/>
        </w:rPr>
      </w:pPr>
      <w:bookmarkStart w:id="39" w:name="_Toc366153769"/>
      <w:bookmarkStart w:id="40" w:name="_Toc10895736"/>
      <w:r>
        <w:rPr>
          <w:rFonts w:asciiTheme="majorEastAsia" w:hAnsiTheme="majorEastAsia" w:eastAsiaTheme="majorEastAsia"/>
          <w:color w:val="auto"/>
          <w:sz w:val="24"/>
          <w:szCs w:val="24"/>
        </w:rPr>
        <w:t>4</w:t>
      </w:r>
      <w:r>
        <w:rPr>
          <w:rFonts w:hint="eastAsia" w:asciiTheme="majorEastAsia" w:hAnsiTheme="majorEastAsia" w:eastAsiaTheme="majorEastAsia"/>
          <w:color w:val="auto"/>
          <w:sz w:val="24"/>
          <w:szCs w:val="24"/>
        </w:rPr>
        <w:t xml:space="preserve"> 包装、运输与交货</w:t>
      </w:r>
      <w:bookmarkEnd w:id="36"/>
      <w:bookmarkEnd w:id="37"/>
      <w:bookmarkEnd w:id="38"/>
      <w:bookmarkEnd w:id="39"/>
      <w:bookmarkEnd w:id="40"/>
    </w:p>
    <w:p>
      <w:pPr>
        <w:spacing w:line="440" w:lineRule="exact"/>
        <w:rPr>
          <w:rFonts w:asciiTheme="minorEastAsia" w:hAnsiTheme="minorEastAsia"/>
          <w:color w:val="auto"/>
          <w:sz w:val="24"/>
          <w:szCs w:val="24"/>
        </w:rPr>
      </w:pPr>
      <w:bookmarkStart w:id="41" w:name="_Toc344628478"/>
      <w:r>
        <w:rPr>
          <w:rFonts w:hint="eastAsia" w:asciiTheme="minorEastAsia" w:hAnsiTheme="minorEastAsia"/>
          <w:color w:val="auto"/>
          <w:sz w:val="24"/>
          <w:szCs w:val="24"/>
        </w:rPr>
        <w:t>见采购合同。</w:t>
      </w:r>
    </w:p>
    <w:p>
      <w:pPr>
        <w:spacing w:line="440" w:lineRule="exact"/>
        <w:rPr>
          <w:rFonts w:asciiTheme="majorEastAsia" w:hAnsiTheme="majorEastAsia" w:eastAsiaTheme="majorEastAsia"/>
          <w:color w:val="auto"/>
          <w:sz w:val="24"/>
          <w:szCs w:val="24"/>
        </w:rPr>
      </w:pPr>
    </w:p>
    <w:p>
      <w:pPr>
        <w:pStyle w:val="2"/>
        <w:spacing w:before="0" w:line="360" w:lineRule="auto"/>
        <w:rPr>
          <w:rFonts w:asciiTheme="majorEastAsia" w:hAnsiTheme="majorEastAsia" w:eastAsiaTheme="majorEastAsia"/>
          <w:color w:val="auto"/>
          <w:sz w:val="24"/>
          <w:szCs w:val="24"/>
        </w:rPr>
      </w:pPr>
      <w:bookmarkStart w:id="42" w:name="_Toc10895737"/>
      <w:bookmarkStart w:id="43" w:name="_Toc366153770"/>
      <w:r>
        <w:rPr>
          <w:rFonts w:asciiTheme="majorEastAsia" w:hAnsiTheme="majorEastAsia" w:eastAsiaTheme="majorEastAsia"/>
          <w:color w:val="auto"/>
          <w:sz w:val="24"/>
          <w:szCs w:val="24"/>
        </w:rPr>
        <w:t>5</w:t>
      </w:r>
      <w:r>
        <w:rPr>
          <w:rFonts w:hint="eastAsia" w:asciiTheme="majorEastAsia" w:hAnsiTheme="majorEastAsia" w:eastAsiaTheme="majorEastAsia"/>
          <w:color w:val="auto"/>
          <w:sz w:val="24"/>
          <w:szCs w:val="24"/>
        </w:rPr>
        <w:t>技术服务</w:t>
      </w:r>
      <w:bookmarkEnd w:id="41"/>
      <w:bookmarkEnd w:id="42"/>
      <w:bookmarkEnd w:id="43"/>
    </w:p>
    <w:p>
      <w:pPr>
        <w:pStyle w:val="3"/>
        <w:tabs>
          <w:tab w:val="left" w:pos="560"/>
        </w:tabs>
        <w:spacing w:line="360" w:lineRule="auto"/>
        <w:rPr>
          <w:rFonts w:asciiTheme="majorEastAsia" w:hAnsiTheme="majorEastAsia"/>
          <w:color w:val="auto"/>
          <w:sz w:val="24"/>
          <w:szCs w:val="24"/>
        </w:rPr>
      </w:pPr>
      <w:bookmarkStart w:id="44" w:name="_Toc10895738"/>
      <w:bookmarkStart w:id="45" w:name="_Toc366153771"/>
      <w:bookmarkStart w:id="46" w:name="_Toc344628479"/>
      <w:r>
        <w:rPr>
          <w:rFonts w:asciiTheme="majorEastAsia" w:hAnsiTheme="majorEastAsia"/>
          <w:color w:val="auto"/>
          <w:sz w:val="24"/>
          <w:szCs w:val="24"/>
        </w:rPr>
        <w:t>5</w:t>
      </w:r>
      <w:r>
        <w:rPr>
          <w:rFonts w:hint="eastAsia" w:asciiTheme="majorEastAsia" w:hAnsiTheme="majorEastAsia"/>
          <w:color w:val="auto"/>
          <w:sz w:val="24"/>
          <w:szCs w:val="24"/>
        </w:rPr>
        <w:t>.1现场服务</w:t>
      </w:r>
      <w:bookmarkEnd w:id="44"/>
      <w:bookmarkEnd w:id="45"/>
      <w:bookmarkEnd w:id="46"/>
    </w:p>
    <w:p>
      <w:pPr>
        <w:snapToGrid w:val="0"/>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.1.1投标人在项目现场的服务人员称为投标人的现场代表。在产品进行现场使用前，投标人应提供现场代表名单、资质，供业主认可。投标人应在生产前就现场供货具体事宜与业主进行有效沟通。</w:t>
      </w:r>
    </w:p>
    <w:p>
      <w:pPr>
        <w:snapToGrid w:val="0"/>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.1.2投标人的现场代表应具备相应的经验，以协助变电站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安装工作。投标人应指定现场首席代表，其作为投标人的全权代表，应具有整个项目的代表权和决定权，业主与首席代表的一切联系均应视为是与投标人的直接联系。在现场验收期间，应有至少一名现场代表留在现场。</w:t>
      </w:r>
    </w:p>
    <w:p>
      <w:pPr>
        <w:snapToGrid w:val="0"/>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1.3在业主认为现场代表的服务不能满足项目需要时，投标人应及时提出替代的现场代表供业主认可，投标人承担由此引起的一切费用。因投标人原因而使现场服务的时间和人员数量增加，所引起的一切费用由投标人承担。</w:t>
      </w:r>
    </w:p>
    <w:p>
      <w:pPr>
        <w:pStyle w:val="3"/>
        <w:tabs>
          <w:tab w:val="left" w:pos="560"/>
        </w:tabs>
        <w:spacing w:line="360" w:lineRule="auto"/>
        <w:rPr>
          <w:rFonts w:ascii="宋体" w:hAnsi="宋体"/>
          <w:color w:val="auto"/>
          <w:sz w:val="24"/>
        </w:rPr>
      </w:pPr>
      <w:bookmarkStart w:id="47" w:name="_Toc344628480"/>
      <w:bookmarkStart w:id="48" w:name="_Toc10895739"/>
      <w:bookmarkStart w:id="49" w:name="_Toc366153772"/>
      <w:r>
        <w:rPr>
          <w:rFonts w:ascii="宋体" w:hAnsi="宋体"/>
          <w:color w:val="auto"/>
          <w:sz w:val="24"/>
        </w:rPr>
        <w:t>5</w:t>
      </w:r>
      <w:r>
        <w:rPr>
          <w:rFonts w:hint="eastAsia" w:ascii="宋体" w:hAnsi="宋体"/>
          <w:color w:val="auto"/>
          <w:sz w:val="24"/>
        </w:rPr>
        <w:t>.2质量保证</w:t>
      </w:r>
      <w:bookmarkEnd w:id="47"/>
      <w:bookmarkEnd w:id="48"/>
      <w:bookmarkEnd w:id="49"/>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.2.1变电站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系统的质量保证期为验收合格后3年。</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.2.2在业主遵守投标人规定的运输、保管和使用规则的条件下，从变电站火灾预警系统验收合格之日起，在质量保证期内因产品质量不良而发生损坏或不能正常运行时，投标人应免费为业主修理或更换。</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.2.</w:t>
      </w:r>
      <w:r>
        <w:rPr>
          <w:rFonts w:asciiTheme="minorEastAsia" w:hAnsiTheme="minorEastAsia"/>
          <w:color w:val="auto"/>
          <w:sz w:val="24"/>
          <w:szCs w:val="24"/>
        </w:rPr>
        <w:t>3</w:t>
      </w:r>
      <w:r>
        <w:rPr>
          <w:rFonts w:hint="eastAsia" w:asciiTheme="minorEastAsia" w:hAnsiTheme="minorEastAsia"/>
          <w:color w:val="auto"/>
          <w:sz w:val="24"/>
          <w:szCs w:val="24"/>
        </w:rPr>
        <w:t xml:space="preserve"> 质保期内，投标人应提供免费的软件和系统升级服务。</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.2.</w:t>
      </w:r>
      <w:r>
        <w:rPr>
          <w:rFonts w:asciiTheme="minorEastAsia" w:hAnsiTheme="minorEastAsia"/>
          <w:color w:val="auto"/>
          <w:sz w:val="24"/>
          <w:szCs w:val="24"/>
        </w:rPr>
        <w:t>4</w:t>
      </w:r>
      <w:r>
        <w:rPr>
          <w:rFonts w:hint="eastAsia" w:asciiTheme="minorEastAsia" w:hAnsiTheme="minorEastAsia"/>
          <w:color w:val="auto"/>
          <w:sz w:val="24"/>
          <w:szCs w:val="24"/>
        </w:rPr>
        <w:t>质保期满后，变电站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系统如出现问题，投标人应及时修理。投标人只收取更换模块、元器件或配件的成本价，具体费用由投标人和业主协商。</w:t>
      </w:r>
    </w:p>
    <w:p>
      <w:pPr>
        <w:pStyle w:val="3"/>
        <w:tabs>
          <w:tab w:val="left" w:pos="560"/>
        </w:tabs>
        <w:spacing w:line="360" w:lineRule="auto"/>
        <w:rPr>
          <w:rFonts w:asciiTheme="majorEastAsia" w:hAnsiTheme="majorEastAsia"/>
          <w:color w:val="auto"/>
          <w:sz w:val="24"/>
          <w:szCs w:val="24"/>
        </w:rPr>
      </w:pPr>
      <w:bookmarkStart w:id="50" w:name="_Toc366153773"/>
      <w:bookmarkStart w:id="51" w:name="_Toc344628481"/>
      <w:bookmarkStart w:id="52" w:name="_Toc10895740"/>
      <w:r>
        <w:rPr>
          <w:rFonts w:asciiTheme="majorEastAsia" w:hAnsiTheme="majorEastAsia"/>
          <w:color w:val="auto"/>
          <w:sz w:val="24"/>
          <w:szCs w:val="24"/>
        </w:rPr>
        <w:t>5</w:t>
      </w:r>
      <w:r>
        <w:rPr>
          <w:rFonts w:hint="eastAsia" w:asciiTheme="majorEastAsia" w:hAnsiTheme="majorEastAsia"/>
          <w:color w:val="auto"/>
          <w:sz w:val="24"/>
          <w:szCs w:val="24"/>
        </w:rPr>
        <w:t>.</w:t>
      </w:r>
      <w:r>
        <w:rPr>
          <w:rFonts w:asciiTheme="majorEastAsia" w:hAnsiTheme="majorEastAsia"/>
          <w:color w:val="auto"/>
          <w:sz w:val="24"/>
          <w:szCs w:val="24"/>
        </w:rPr>
        <w:t>3</w:t>
      </w:r>
      <w:r>
        <w:rPr>
          <w:rFonts w:hint="eastAsia" w:asciiTheme="majorEastAsia" w:hAnsiTheme="majorEastAsia"/>
          <w:color w:val="auto"/>
          <w:sz w:val="24"/>
          <w:szCs w:val="24"/>
        </w:rPr>
        <w:t>技术支持</w:t>
      </w:r>
      <w:bookmarkEnd w:id="50"/>
      <w:bookmarkEnd w:id="51"/>
      <w:bookmarkEnd w:id="52"/>
    </w:p>
    <w:p>
      <w:pPr>
        <w:spacing w:line="360" w:lineRule="auto"/>
        <w:rPr>
          <w:rFonts w:asciiTheme="minorEastAsia" w:hAnsiTheme="minorEastAsia"/>
          <w:color w:val="auto"/>
          <w:sz w:val="24"/>
          <w:szCs w:val="24"/>
        </w:rPr>
      </w:pPr>
      <w:bookmarkStart w:id="53" w:name="_Toc344628482"/>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.1投标人提供终身技术支持。</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.2质保期内为无偿服务。</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.3投标人应提供远程电话技术支持：每周7天、每天24小时服务支持。</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.4电话无法解决的问题，投标人应保证在48小时内到现场服务。</w:t>
      </w:r>
    </w:p>
    <w:p>
      <w:pPr>
        <w:pStyle w:val="3"/>
        <w:tabs>
          <w:tab w:val="left" w:pos="560"/>
        </w:tabs>
        <w:spacing w:line="360" w:lineRule="auto"/>
        <w:rPr>
          <w:rFonts w:ascii="宋体" w:hAnsi="宋体"/>
          <w:color w:val="auto"/>
          <w:sz w:val="24"/>
        </w:rPr>
      </w:pPr>
      <w:bookmarkStart w:id="54" w:name="_Toc366153775"/>
      <w:bookmarkStart w:id="55" w:name="_Toc344628483"/>
      <w:bookmarkStart w:id="56" w:name="_Toc10895741"/>
      <w:r>
        <w:rPr>
          <w:rFonts w:ascii="宋体" w:hAnsi="宋体"/>
          <w:color w:val="auto"/>
          <w:sz w:val="24"/>
        </w:rPr>
        <w:t>5</w:t>
      </w:r>
      <w:r>
        <w:rPr>
          <w:rFonts w:hint="eastAsia" w:ascii="宋体" w:hAnsi="宋体"/>
          <w:color w:val="auto"/>
          <w:sz w:val="24"/>
        </w:rPr>
        <w:t>.</w:t>
      </w:r>
      <w:r>
        <w:rPr>
          <w:rFonts w:ascii="宋体" w:hAnsi="宋体"/>
          <w:color w:val="auto"/>
          <w:sz w:val="24"/>
        </w:rPr>
        <w:t>4</w:t>
      </w:r>
      <w:r>
        <w:rPr>
          <w:rFonts w:hint="eastAsia" w:ascii="宋体" w:hAnsi="宋体"/>
          <w:color w:val="auto"/>
          <w:sz w:val="24"/>
        </w:rPr>
        <w:t>维修保养</w:t>
      </w:r>
      <w:bookmarkEnd w:id="54"/>
      <w:bookmarkEnd w:id="55"/>
      <w:bookmarkEnd w:id="56"/>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4</w:t>
      </w:r>
      <w:r>
        <w:rPr>
          <w:rFonts w:hint="eastAsia" w:asciiTheme="minorEastAsia" w:hAnsiTheme="minorEastAsia"/>
          <w:color w:val="auto"/>
          <w:sz w:val="24"/>
          <w:szCs w:val="24"/>
        </w:rPr>
        <w:t>.1在变电站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系统使用寿命期内，如出现异常，投标人应积极配合，及时查找原因。</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4</w:t>
      </w:r>
      <w:r>
        <w:rPr>
          <w:rFonts w:hint="eastAsia" w:asciiTheme="minorEastAsia" w:hAnsiTheme="minorEastAsia"/>
          <w:color w:val="auto"/>
          <w:sz w:val="24"/>
          <w:szCs w:val="24"/>
        </w:rPr>
        <w:t>.2在质保期内，投标人应负责变电站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系统维修保养工作，如出现非业主原因导致的损坏，投标人应负责无偿修复。</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4</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在寿命期内，投标人应能提供足够数量的备品备件，在规定时间内完成维修工作，确保巡检系统能正常使用。</w:t>
      </w:r>
    </w:p>
    <w:p>
      <w:pPr>
        <w:spacing w:line="360" w:lineRule="auto"/>
        <w:rPr>
          <w:rFonts w:ascii="宋体" w:hAnsi="宋体"/>
          <w:color w:val="auto"/>
          <w:sz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4</w:t>
      </w:r>
      <w:r>
        <w:rPr>
          <w:rFonts w:hint="eastAsia" w:asciiTheme="minorEastAsia" w:hAnsiTheme="minorEastAsia"/>
          <w:color w:val="auto"/>
          <w:sz w:val="24"/>
          <w:szCs w:val="24"/>
        </w:rPr>
        <w:t>.</w:t>
      </w:r>
      <w:r>
        <w:rPr>
          <w:rFonts w:asciiTheme="minorEastAsia" w:hAnsiTheme="minorEastAsia"/>
          <w:color w:val="auto"/>
          <w:sz w:val="24"/>
          <w:szCs w:val="24"/>
        </w:rPr>
        <w:t>4维修工作</w:t>
      </w:r>
      <w:r>
        <w:rPr>
          <w:rFonts w:hint="eastAsia" w:asciiTheme="minorEastAsia" w:hAnsiTheme="minorEastAsia"/>
          <w:color w:val="auto"/>
          <w:sz w:val="24"/>
          <w:szCs w:val="24"/>
        </w:rPr>
        <w:t>时</w:t>
      </w:r>
      <w:r>
        <w:rPr>
          <w:rFonts w:asciiTheme="minorEastAsia" w:hAnsiTheme="minorEastAsia"/>
          <w:color w:val="auto"/>
          <w:sz w:val="24"/>
          <w:szCs w:val="24"/>
        </w:rPr>
        <w:t>，对系统、设备、机件不同部位</w:t>
      </w:r>
      <w:r>
        <w:rPr>
          <w:rFonts w:hint="eastAsia" w:asciiTheme="minorEastAsia" w:hAnsiTheme="minorEastAsia"/>
          <w:color w:val="auto"/>
          <w:sz w:val="24"/>
          <w:szCs w:val="24"/>
        </w:rPr>
        <w:t>都</w:t>
      </w:r>
      <w:r>
        <w:rPr>
          <w:rFonts w:asciiTheme="minorEastAsia" w:hAnsiTheme="minorEastAsia"/>
          <w:color w:val="auto"/>
          <w:sz w:val="24"/>
          <w:szCs w:val="24"/>
        </w:rPr>
        <w:t>可触摸到</w:t>
      </w:r>
      <w:r>
        <w:rPr>
          <w:rFonts w:hint="eastAsia" w:asciiTheme="minorEastAsia" w:hAnsiTheme="minorEastAsia"/>
          <w:color w:val="auto"/>
          <w:sz w:val="24"/>
          <w:szCs w:val="24"/>
        </w:rPr>
        <w:t>，</w:t>
      </w:r>
      <w:r>
        <w:rPr>
          <w:rFonts w:asciiTheme="minorEastAsia" w:hAnsiTheme="minorEastAsia"/>
          <w:color w:val="auto"/>
          <w:sz w:val="24"/>
          <w:szCs w:val="24"/>
        </w:rPr>
        <w:t>检查、调节、拆装等操作</w:t>
      </w:r>
      <w:r>
        <w:rPr>
          <w:rFonts w:hint="eastAsia" w:asciiTheme="minorEastAsia" w:hAnsiTheme="minorEastAsia"/>
          <w:color w:val="auto"/>
          <w:sz w:val="24"/>
          <w:szCs w:val="24"/>
        </w:rPr>
        <w:t>便捷。</w:t>
      </w:r>
    </w:p>
    <w:p>
      <w:pPr>
        <w:pStyle w:val="3"/>
        <w:tabs>
          <w:tab w:val="left" w:pos="560"/>
        </w:tabs>
        <w:spacing w:line="360" w:lineRule="auto"/>
        <w:rPr>
          <w:color w:val="auto"/>
        </w:rPr>
      </w:pPr>
      <w:bookmarkStart w:id="57" w:name="_Toc366153776"/>
      <w:bookmarkStart w:id="58" w:name="_Toc10895742"/>
      <w:r>
        <w:rPr>
          <w:rFonts w:ascii="宋体" w:hAnsi="宋体"/>
          <w:color w:val="auto"/>
          <w:sz w:val="24"/>
        </w:rPr>
        <w:t>5</w:t>
      </w:r>
      <w:r>
        <w:rPr>
          <w:rFonts w:hint="eastAsia" w:ascii="宋体" w:hAnsi="宋体"/>
          <w:color w:val="auto"/>
          <w:sz w:val="24"/>
        </w:rPr>
        <w:t>.</w:t>
      </w:r>
      <w:r>
        <w:rPr>
          <w:rFonts w:ascii="宋体" w:hAnsi="宋体"/>
          <w:color w:val="auto"/>
          <w:sz w:val="24"/>
        </w:rPr>
        <w:t>5</w:t>
      </w:r>
      <w:r>
        <w:rPr>
          <w:rFonts w:hint="eastAsia" w:ascii="宋体" w:hAnsi="宋体"/>
          <w:color w:val="auto"/>
          <w:sz w:val="24"/>
        </w:rPr>
        <w:t>其他要求</w:t>
      </w:r>
      <w:bookmarkEnd w:id="57"/>
      <w:bookmarkEnd w:id="58"/>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5</w:t>
      </w:r>
      <w:r>
        <w:rPr>
          <w:rFonts w:hint="eastAsia" w:asciiTheme="minorEastAsia" w:hAnsiTheme="minorEastAsia"/>
          <w:color w:val="auto"/>
          <w:sz w:val="24"/>
          <w:szCs w:val="24"/>
        </w:rPr>
        <w:t>.1投标人应建立完善的售后服务体系。</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5</w:t>
      </w:r>
      <w:r>
        <w:rPr>
          <w:rFonts w:hint="eastAsia" w:asciiTheme="minorEastAsia" w:hAnsiTheme="minorEastAsia"/>
          <w:color w:val="auto"/>
          <w:sz w:val="24"/>
          <w:szCs w:val="24"/>
        </w:rPr>
        <w:t>.2投标人应建立完善的巡检系统档案，包括软硬件版本信息、出厂检验报告、历史故障记录、历史维护记录等。</w:t>
      </w:r>
    </w:p>
    <w:p>
      <w:pPr>
        <w:spacing w:line="360" w:lineRule="auto"/>
        <w:rPr>
          <w:rFonts w:asciiTheme="minorEastAsia" w:hAnsiTheme="minorEastAsia"/>
          <w:color w:val="auto"/>
          <w:sz w:val="24"/>
          <w:szCs w:val="24"/>
        </w:rPr>
      </w:pPr>
      <w:r>
        <w:rPr>
          <w:rFonts w:asciiTheme="minorEastAsia" w:hAnsiTheme="minorEastAsia"/>
          <w:color w:val="auto"/>
          <w:sz w:val="24"/>
          <w:szCs w:val="24"/>
        </w:rPr>
        <w:t>5</w:t>
      </w:r>
      <w:r>
        <w:rPr>
          <w:rFonts w:hint="eastAsia" w:asciiTheme="minorEastAsia" w:hAnsiTheme="minorEastAsia"/>
          <w:color w:val="auto"/>
          <w:sz w:val="24"/>
          <w:szCs w:val="24"/>
        </w:rPr>
        <w:t>.</w:t>
      </w:r>
      <w:r>
        <w:rPr>
          <w:rFonts w:asciiTheme="minorEastAsia" w:hAnsiTheme="minorEastAsia"/>
          <w:color w:val="auto"/>
          <w:sz w:val="24"/>
          <w:szCs w:val="24"/>
        </w:rPr>
        <w:t>5</w:t>
      </w:r>
      <w:r>
        <w:rPr>
          <w:rFonts w:hint="eastAsia" w:asciiTheme="minorEastAsia" w:hAnsiTheme="minorEastAsia"/>
          <w:color w:val="auto"/>
          <w:sz w:val="24"/>
          <w:szCs w:val="24"/>
        </w:rPr>
        <w:t>.3投标人应在质保期内购买第三方责任险（保额不低于30万），所有费用应由投标人承担。变电站</w:t>
      </w:r>
      <w:r>
        <w:rPr>
          <w:rFonts w:hint="eastAsia" w:asciiTheme="minorEastAsia" w:hAnsiTheme="minorEastAsia"/>
          <w:color w:val="auto"/>
          <w:sz w:val="24"/>
          <w:szCs w:val="24"/>
          <w:lang w:eastAsia="zh-CN"/>
        </w:rPr>
        <w:t>超早期火灾预警</w:t>
      </w:r>
      <w:r>
        <w:rPr>
          <w:rFonts w:hint="eastAsia" w:asciiTheme="minorEastAsia" w:hAnsiTheme="minorEastAsia"/>
          <w:color w:val="auto"/>
          <w:sz w:val="24"/>
          <w:szCs w:val="24"/>
        </w:rPr>
        <w:t>系统在使用中如发生意外事故，造成第三方伤害，投标人有责任协助业主处理理赔事宜。</w:t>
      </w:r>
    </w:p>
    <w:bookmarkEnd w:id="53"/>
    <w:p>
      <w:pPr>
        <w:pStyle w:val="6"/>
        <w:kinsoku w:val="0"/>
        <w:overflowPunct w:val="0"/>
        <w:spacing w:before="0"/>
        <w:ind w:left="122" w:right="580"/>
        <w:jc w:val="center"/>
        <w:rPr>
          <w:rFonts w:cs="黑体" w:asciiTheme="majorEastAsia" w:hAnsiTheme="majorEastAsia" w:eastAsiaTheme="majorEastAsia"/>
          <w:color w:val="auto"/>
          <w:sz w:val="24"/>
          <w:szCs w:val="24"/>
        </w:rPr>
      </w:pPr>
    </w:p>
    <w:p>
      <w:pPr>
        <w:pStyle w:val="2"/>
        <w:rPr>
          <w:rFonts w:asciiTheme="majorEastAsia" w:hAnsiTheme="majorEastAsia" w:eastAsiaTheme="majorEastAsia"/>
          <w:color w:val="auto"/>
          <w:sz w:val="24"/>
          <w:szCs w:val="24"/>
        </w:rPr>
      </w:pPr>
      <w:bookmarkStart w:id="59" w:name="_Toc10895743"/>
      <w:r>
        <w:rPr>
          <w:rFonts w:hint="eastAsia" w:asciiTheme="majorEastAsia" w:hAnsiTheme="majorEastAsia" w:eastAsiaTheme="majorEastAsia"/>
          <w:color w:val="auto"/>
          <w:sz w:val="24"/>
          <w:szCs w:val="24"/>
        </w:rPr>
        <w:t>6</w:t>
      </w:r>
      <w:r>
        <w:rPr>
          <w:rFonts w:asciiTheme="majorEastAsia" w:hAnsiTheme="majorEastAsia" w:eastAsiaTheme="majorEastAsia"/>
          <w:color w:val="auto"/>
          <w:sz w:val="24"/>
          <w:szCs w:val="24"/>
        </w:rPr>
        <w:t xml:space="preserve"> </w:t>
      </w:r>
      <w:r>
        <w:rPr>
          <w:rFonts w:hint="eastAsia" w:asciiTheme="majorEastAsia" w:hAnsiTheme="majorEastAsia" w:eastAsiaTheme="majorEastAsia"/>
          <w:color w:val="auto"/>
          <w:sz w:val="24"/>
          <w:szCs w:val="24"/>
        </w:rPr>
        <w:t>技术规范</w:t>
      </w:r>
      <w:bookmarkEnd w:id="59"/>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6.1</w:t>
      </w:r>
      <w:bookmarkStart w:id="60" w:name="_Toc480375781"/>
      <w:r>
        <w:rPr>
          <w:rFonts w:ascii="仿宋_GB2312" w:hAnsi="仿宋_GB2312" w:eastAsia="仿宋_GB2312" w:cs="仿宋_GB2312"/>
          <w:color w:val="auto"/>
          <w:sz w:val="24"/>
          <w:szCs w:val="24"/>
        </w:rPr>
        <w:t>应遵循的主要标准</w:t>
      </w:r>
      <w:bookmarkEnd w:id="60"/>
    </w:p>
    <w:p>
      <w:pPr>
        <w:pStyle w:val="36"/>
        <w:adjustRightInd w:val="0"/>
        <w:spacing w:line="360" w:lineRule="auto"/>
        <w:ind w:left="420" w:leftChars="200" w:firstLine="240" w:firstLineChars="100"/>
        <w:rPr>
          <w:rFonts w:hint="eastAsia" w:ascii="宋体" w:hAnsi="宋体" w:eastAsia="宋体"/>
          <w:color w:val="auto"/>
          <w:sz w:val="24"/>
        </w:rPr>
      </w:pPr>
      <w:r>
        <w:rPr>
          <w:rFonts w:hint="eastAsia" w:ascii="宋体" w:hAnsi="宋体" w:eastAsia="宋体"/>
          <w:color w:val="auto"/>
          <w:sz w:val="24"/>
        </w:rPr>
        <w:t>系统及设备的制造、检测须分别满足以下国家颁布的相应产品规范的要求：</w:t>
      </w:r>
    </w:p>
    <w:p>
      <w:pPr>
        <w:pStyle w:val="36"/>
        <w:adjustRightInd w:val="0"/>
        <w:spacing w:line="360" w:lineRule="auto"/>
        <w:ind w:left="420" w:leftChars="200" w:firstLine="240" w:firstLineChars="100"/>
        <w:rPr>
          <w:rFonts w:hint="eastAsia" w:ascii="宋体" w:hAnsi="宋体" w:eastAsia="宋体"/>
          <w:color w:val="auto"/>
          <w:sz w:val="24"/>
        </w:rPr>
      </w:pPr>
      <w:r>
        <w:rPr>
          <w:rFonts w:hint="eastAsia" w:ascii="宋体" w:hAnsi="宋体" w:eastAsia="宋体"/>
          <w:color w:val="auto"/>
          <w:sz w:val="24"/>
        </w:rPr>
        <w:t>GB 15631-2008 《特种火灾探测器》</w:t>
      </w:r>
    </w:p>
    <w:p>
      <w:pPr>
        <w:pStyle w:val="36"/>
        <w:adjustRightInd w:val="0"/>
        <w:spacing w:line="360" w:lineRule="auto"/>
        <w:ind w:left="420" w:leftChars="200" w:firstLine="240" w:firstLineChars="100"/>
        <w:rPr>
          <w:rFonts w:hint="eastAsia" w:ascii="宋体" w:hAnsi="宋体" w:eastAsia="宋体"/>
          <w:color w:val="auto"/>
          <w:sz w:val="24"/>
        </w:rPr>
      </w:pPr>
      <w:r>
        <w:rPr>
          <w:rFonts w:hint="eastAsia" w:ascii="宋体" w:hAnsi="宋体" w:eastAsia="宋体"/>
          <w:color w:val="auto"/>
          <w:sz w:val="24"/>
        </w:rPr>
        <w:t>GB50116-201</w:t>
      </w:r>
      <w:bookmarkStart w:id="72" w:name="_GoBack"/>
      <w:bookmarkEnd w:id="72"/>
      <w:r>
        <w:rPr>
          <w:rFonts w:hint="eastAsia" w:ascii="宋体" w:hAnsi="宋体" w:eastAsia="宋体"/>
          <w:color w:val="auto"/>
          <w:sz w:val="24"/>
        </w:rPr>
        <w:t>3 《火灾自动报警系统设计规范》</w:t>
      </w:r>
    </w:p>
    <w:p>
      <w:pPr>
        <w:pStyle w:val="36"/>
        <w:adjustRightInd w:val="0"/>
        <w:spacing w:line="360" w:lineRule="auto"/>
        <w:ind w:left="420" w:leftChars="200" w:firstLine="240" w:firstLineChars="100"/>
        <w:rPr>
          <w:rFonts w:hint="eastAsia" w:ascii="宋体" w:hAnsi="宋体" w:eastAsia="宋体"/>
          <w:color w:val="auto"/>
          <w:sz w:val="24"/>
        </w:rPr>
      </w:pPr>
      <w:r>
        <w:rPr>
          <w:rFonts w:hint="eastAsia" w:ascii="宋体" w:hAnsi="宋体" w:eastAsia="宋体"/>
          <w:color w:val="auto"/>
          <w:sz w:val="24"/>
        </w:rPr>
        <w:t>GB 50229-2006 《火力发电厂与变电站设计防火规范》</w:t>
      </w: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6.2火灾</w:t>
      </w:r>
      <w:r>
        <w:rPr>
          <w:rFonts w:ascii="仿宋_GB2312" w:hAnsi="仿宋_GB2312" w:eastAsia="仿宋_GB2312" w:cs="仿宋_GB2312"/>
          <w:color w:val="auto"/>
          <w:sz w:val="24"/>
          <w:szCs w:val="24"/>
        </w:rPr>
        <w:t>预警系统</w:t>
      </w:r>
      <w:r>
        <w:rPr>
          <w:rFonts w:hint="eastAsia" w:ascii="仿宋_GB2312" w:hAnsi="仿宋_GB2312" w:eastAsia="仿宋_GB2312" w:cs="仿宋_GB2312"/>
          <w:color w:val="auto"/>
          <w:sz w:val="24"/>
          <w:szCs w:val="24"/>
        </w:rPr>
        <w:t>参数</w:t>
      </w:r>
    </w:p>
    <w:p>
      <w:pPr>
        <w:spacing w:line="360" w:lineRule="auto"/>
        <w:rPr>
          <w:rFonts w:ascii="仿宋_GB2312" w:hAnsi="仿宋_GB2312" w:eastAsia="仿宋_GB2312" w:cs="仿宋_GB2312"/>
          <w:color w:val="auto"/>
          <w:sz w:val="24"/>
          <w:szCs w:val="24"/>
        </w:rPr>
      </w:pPr>
      <w:bookmarkStart w:id="61" w:name="_Toc480375782"/>
      <w:r>
        <w:rPr>
          <w:rFonts w:hint="eastAsia" w:ascii="仿宋_GB2312" w:hAnsi="仿宋_GB2312" w:eastAsia="仿宋_GB2312" w:cs="仿宋_GB2312"/>
          <w:color w:val="auto"/>
          <w:sz w:val="24"/>
          <w:szCs w:val="24"/>
        </w:rPr>
        <w:t xml:space="preserve">6.2.1 </w:t>
      </w:r>
      <w:r>
        <w:rPr>
          <w:rFonts w:ascii="仿宋_GB2312" w:hAnsi="仿宋_GB2312" w:eastAsia="仿宋_GB2312" w:cs="仿宋_GB2312"/>
          <w:color w:val="auto"/>
          <w:sz w:val="24"/>
          <w:szCs w:val="24"/>
        </w:rPr>
        <w:t>环境条件</w:t>
      </w:r>
      <w:bookmarkEnd w:id="61"/>
    </w:p>
    <w:p>
      <w:pPr>
        <w:pStyle w:val="36"/>
        <w:adjustRightInd w:val="0"/>
        <w:spacing w:line="360" w:lineRule="auto"/>
        <w:ind w:left="420" w:leftChars="200" w:firstLine="240" w:firstLineChars="100"/>
        <w:rPr>
          <w:rFonts w:ascii="宋体" w:hAnsi="宋体" w:eastAsia="宋体"/>
          <w:color w:val="auto"/>
          <w:sz w:val="24"/>
        </w:rPr>
      </w:pPr>
      <w:r>
        <w:rPr>
          <w:rFonts w:hint="eastAsia" w:ascii="宋体" w:hAnsi="宋体" w:eastAsia="宋体"/>
          <w:color w:val="auto"/>
          <w:sz w:val="24"/>
        </w:rPr>
        <w:t>环境</w:t>
      </w:r>
      <w:r>
        <w:rPr>
          <w:rFonts w:ascii="宋体" w:hAnsi="宋体" w:eastAsia="宋体"/>
          <w:color w:val="auto"/>
          <w:sz w:val="24"/>
        </w:rPr>
        <w:t>温度</w:t>
      </w:r>
      <w:r>
        <w:rPr>
          <w:rFonts w:hint="eastAsia" w:ascii="宋体" w:hAnsi="宋体" w:eastAsia="宋体"/>
          <w:color w:val="auto"/>
          <w:sz w:val="24"/>
        </w:rPr>
        <w:t>：-10℃~40℃；最高月平均温度为35℃</w:t>
      </w:r>
    </w:p>
    <w:p>
      <w:pPr>
        <w:pStyle w:val="36"/>
        <w:adjustRightInd w:val="0"/>
        <w:spacing w:line="360" w:lineRule="auto"/>
        <w:ind w:left="420" w:leftChars="200" w:firstLine="240" w:firstLineChars="100"/>
        <w:rPr>
          <w:rFonts w:ascii="宋体" w:hAnsi="宋体" w:eastAsia="宋体"/>
          <w:color w:val="auto"/>
          <w:sz w:val="24"/>
        </w:rPr>
      </w:pPr>
      <w:r>
        <w:rPr>
          <w:rFonts w:ascii="宋体" w:hAnsi="宋体" w:eastAsia="宋体"/>
          <w:color w:val="auto"/>
          <w:sz w:val="24"/>
        </w:rPr>
        <w:t>环境相对湿度（在25</w:t>
      </w:r>
      <w:r>
        <w:rPr>
          <w:rFonts w:hint="eastAsia" w:ascii="宋体" w:hAnsi="宋体" w:eastAsia="宋体"/>
          <w:color w:val="auto"/>
          <w:sz w:val="24"/>
        </w:rPr>
        <w:t>℃</w:t>
      </w:r>
      <w:r>
        <w:rPr>
          <w:rFonts w:ascii="宋体" w:hAnsi="宋体" w:eastAsia="宋体"/>
          <w:color w:val="auto"/>
          <w:sz w:val="24"/>
        </w:rPr>
        <w:t>时）</w:t>
      </w:r>
      <w:r>
        <w:rPr>
          <w:rFonts w:hint="eastAsia" w:ascii="宋体" w:hAnsi="宋体" w:eastAsia="宋体"/>
          <w:color w:val="auto"/>
          <w:sz w:val="24"/>
        </w:rPr>
        <w:t>：</w:t>
      </w:r>
      <w:r>
        <w:rPr>
          <w:rFonts w:ascii="宋体" w:hAnsi="宋体" w:eastAsia="宋体"/>
          <w:color w:val="auto"/>
          <w:sz w:val="24"/>
        </w:rPr>
        <w:t>日相对湿度平均值不大于95%；月相对湿度平均值不大于90%</w:t>
      </w:r>
      <w:r>
        <w:rPr>
          <w:rFonts w:hint="eastAsia" w:ascii="宋体" w:hAnsi="宋体" w:eastAsia="宋体"/>
          <w:color w:val="auto"/>
          <w:sz w:val="24"/>
        </w:rPr>
        <w:t>；</w:t>
      </w:r>
      <w:r>
        <w:rPr>
          <w:rFonts w:ascii="宋体" w:hAnsi="宋体" w:eastAsia="宋体"/>
          <w:color w:val="auto"/>
          <w:sz w:val="24"/>
        </w:rPr>
        <w:t>应考虑凝露对设备的影响。</w:t>
      </w:r>
    </w:p>
    <w:p>
      <w:pPr>
        <w:pStyle w:val="36"/>
        <w:adjustRightInd w:val="0"/>
        <w:spacing w:line="360" w:lineRule="auto"/>
        <w:ind w:left="420" w:leftChars="200" w:firstLine="240" w:firstLineChars="100"/>
        <w:rPr>
          <w:rFonts w:ascii="宋体" w:hAnsi="宋体" w:eastAsia="宋体"/>
          <w:color w:val="auto"/>
          <w:sz w:val="24"/>
        </w:rPr>
      </w:pPr>
      <w:r>
        <w:rPr>
          <w:rFonts w:ascii="宋体" w:hAnsi="宋体" w:eastAsia="宋体"/>
          <w:color w:val="auto"/>
          <w:sz w:val="24"/>
        </w:rPr>
        <w:t>海拔高度</w:t>
      </w:r>
      <w:r>
        <w:rPr>
          <w:rFonts w:hint="eastAsia" w:ascii="宋体" w:hAnsi="宋体" w:eastAsia="宋体"/>
          <w:color w:val="auto"/>
          <w:sz w:val="24"/>
        </w:rPr>
        <w:t>：≤</w:t>
      </w:r>
      <w:r>
        <w:rPr>
          <w:rFonts w:ascii="宋体" w:hAnsi="宋体" w:eastAsia="宋体"/>
          <w:color w:val="auto"/>
          <w:sz w:val="24"/>
        </w:rPr>
        <w:t>1000m</w:t>
      </w:r>
    </w:p>
    <w:p>
      <w:pPr>
        <w:pStyle w:val="36"/>
        <w:adjustRightInd w:val="0"/>
        <w:spacing w:line="360" w:lineRule="auto"/>
        <w:ind w:left="420" w:leftChars="200" w:firstLine="240" w:firstLineChars="100"/>
        <w:rPr>
          <w:rFonts w:ascii="宋体" w:hAnsi="宋体" w:eastAsia="宋体"/>
          <w:color w:val="auto"/>
          <w:sz w:val="24"/>
        </w:rPr>
      </w:pPr>
      <w:r>
        <w:rPr>
          <w:rFonts w:ascii="宋体" w:hAnsi="宋体" w:eastAsia="宋体"/>
          <w:color w:val="auto"/>
          <w:sz w:val="24"/>
        </w:rPr>
        <w:t>在增加附件后，设备</w:t>
      </w:r>
      <w:r>
        <w:rPr>
          <w:rFonts w:hint="eastAsia" w:ascii="宋体" w:hAnsi="宋体" w:eastAsia="宋体"/>
          <w:color w:val="auto"/>
          <w:sz w:val="24"/>
        </w:rPr>
        <w:t>具有</w:t>
      </w:r>
      <w:r>
        <w:rPr>
          <w:rFonts w:ascii="宋体" w:hAnsi="宋体" w:eastAsia="宋体"/>
          <w:color w:val="auto"/>
          <w:sz w:val="24"/>
        </w:rPr>
        <w:t>较强的防水能力</w:t>
      </w:r>
      <w:r>
        <w:rPr>
          <w:rFonts w:hint="eastAsia" w:ascii="宋体" w:hAnsi="宋体" w:eastAsia="宋体"/>
          <w:color w:val="auto"/>
          <w:sz w:val="24"/>
        </w:rPr>
        <w:t>，</w:t>
      </w:r>
      <w:r>
        <w:rPr>
          <w:rFonts w:ascii="宋体" w:hAnsi="宋体" w:eastAsia="宋体"/>
          <w:color w:val="auto"/>
          <w:sz w:val="24"/>
        </w:rPr>
        <w:t>在下雨，</w:t>
      </w:r>
      <w:r>
        <w:rPr>
          <w:rFonts w:hint="eastAsia" w:ascii="宋体" w:hAnsi="宋体" w:eastAsia="宋体"/>
          <w:color w:val="auto"/>
          <w:sz w:val="24"/>
        </w:rPr>
        <w:t>暴晒露天</w:t>
      </w:r>
      <w:r>
        <w:rPr>
          <w:rFonts w:ascii="宋体" w:hAnsi="宋体" w:eastAsia="宋体"/>
          <w:color w:val="auto"/>
          <w:sz w:val="24"/>
        </w:rPr>
        <w:t>等环境</w:t>
      </w:r>
      <w:r>
        <w:rPr>
          <w:rFonts w:hint="eastAsia" w:ascii="宋体" w:hAnsi="宋体" w:eastAsia="宋体"/>
          <w:color w:val="auto"/>
          <w:sz w:val="24"/>
        </w:rPr>
        <w:t>下</w:t>
      </w:r>
      <w:r>
        <w:rPr>
          <w:rFonts w:ascii="宋体" w:hAnsi="宋体" w:eastAsia="宋体"/>
          <w:color w:val="auto"/>
          <w:sz w:val="24"/>
        </w:rPr>
        <w:t>可正常运行</w:t>
      </w:r>
    </w:p>
    <w:p>
      <w:pPr>
        <w:spacing w:line="360" w:lineRule="auto"/>
        <w:rPr>
          <w:rFonts w:ascii="仿宋_GB2312" w:hAnsi="仿宋_GB2312" w:eastAsia="仿宋_GB2312" w:cs="仿宋_GB2312"/>
          <w:color w:val="auto"/>
          <w:sz w:val="24"/>
          <w:szCs w:val="24"/>
        </w:rPr>
      </w:pPr>
      <w:bookmarkStart w:id="62" w:name="_Toc480375783"/>
      <w:r>
        <w:rPr>
          <w:rFonts w:hint="eastAsia" w:ascii="仿宋_GB2312" w:hAnsi="仿宋_GB2312" w:eastAsia="仿宋_GB2312" w:cs="仿宋_GB2312"/>
          <w:color w:val="auto"/>
          <w:sz w:val="24"/>
          <w:szCs w:val="24"/>
        </w:rPr>
        <w:t xml:space="preserve">6.2.2 </w:t>
      </w:r>
      <w:r>
        <w:rPr>
          <w:rFonts w:ascii="仿宋_GB2312" w:hAnsi="仿宋_GB2312" w:eastAsia="仿宋_GB2312" w:cs="仿宋_GB2312"/>
          <w:color w:val="auto"/>
          <w:sz w:val="24"/>
          <w:szCs w:val="24"/>
        </w:rPr>
        <w:t>技术参数</w:t>
      </w:r>
      <w:bookmarkEnd w:id="62"/>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1）火灾预警系统应采用云型吸气式感烟火灾预警探测器，要求为智能型探测系统，具有可靠的故障判断，且具备布线简单，集中度高，操作方便，安全可靠等特点。</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2）探测器具备火灾发生前期对热释离子浓度的探测能力,能够在设备火灾故障前期</w:t>
      </w:r>
      <w:r>
        <w:rPr>
          <w:rFonts w:hint="eastAsia" w:ascii="宋体" w:hAnsi="宋体" w:eastAsia="宋体"/>
          <w:color w:val="auto"/>
          <w:sz w:val="24"/>
          <w:lang w:val="en-GB"/>
        </w:rPr>
        <w:t>进行预警</w:t>
      </w:r>
      <w:r>
        <w:rPr>
          <w:rFonts w:hint="eastAsia" w:ascii="宋体" w:hAnsi="宋体" w:eastAsia="宋体"/>
          <w:color w:val="auto"/>
          <w:sz w:val="24"/>
        </w:rPr>
        <w:t>，有效防止火灾故障扩大。</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3）探测面积</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 xml:space="preserve">   单台探测器应能检测2000m</w:t>
      </w:r>
      <w:r>
        <w:rPr>
          <w:rFonts w:hint="eastAsia" w:ascii="宋体" w:hAnsi="宋体" w:eastAsia="宋体"/>
          <w:color w:val="auto"/>
          <w:sz w:val="24"/>
          <w:vertAlign w:val="superscript"/>
        </w:rPr>
        <w:t>2</w:t>
      </w:r>
      <w:r>
        <w:rPr>
          <w:rFonts w:hint="eastAsia" w:ascii="宋体" w:hAnsi="宋体" w:eastAsia="宋体"/>
          <w:color w:val="auto"/>
          <w:sz w:val="24"/>
        </w:rPr>
        <w:t>左右的面积，可探测高大房间、电缆沟、弱电井等恶劣场所的烟雾含量。</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4）探测器灵敏度</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探测器报警灵敏度要求具有极灵敏、灵敏、普通等三个等级并能调节，以满足各种场所对火灾监控的要求</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5）火灾预警功能</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探测器应提供不同烟雾浓度的报警级别，并应在烟雾浓度达到预先设置的报警级别时，发出相应的警报。报警级别不应小于5</w:t>
      </w:r>
      <w:r>
        <w:rPr>
          <w:rFonts w:ascii="宋体" w:hAnsi="宋体" w:eastAsia="宋体"/>
          <w:color w:val="auto"/>
          <w:sz w:val="24"/>
        </w:rPr>
        <w:t>级</w:t>
      </w:r>
      <w:r>
        <w:rPr>
          <w:rFonts w:hint="eastAsia" w:ascii="宋体" w:hAnsi="宋体" w:eastAsia="宋体"/>
          <w:color w:val="auto"/>
          <w:sz w:val="24"/>
        </w:rPr>
        <w:t>。</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6）火灾报警及时性</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 xml:space="preserve">    探测器任一采样孔获取的火灾烟参数符合报警条件时，应在120S内发出火灾报警信号。</w:t>
      </w:r>
    </w:p>
    <w:p>
      <w:pPr>
        <w:pStyle w:val="36"/>
        <w:adjustRightInd w:val="0"/>
        <w:spacing w:line="360" w:lineRule="auto"/>
        <w:ind w:firstLine="0" w:firstLineChars="0"/>
        <w:rPr>
          <w:rFonts w:ascii="宋体" w:hAnsi="宋体" w:eastAsia="宋体"/>
          <w:color w:val="auto"/>
          <w:sz w:val="24"/>
        </w:rPr>
      </w:pPr>
      <w:bookmarkStart w:id="63" w:name="OLE_LINK3"/>
      <w:bookmarkStart w:id="64" w:name="OLE_LINK2"/>
      <w:r>
        <w:rPr>
          <w:rFonts w:hint="eastAsia" w:ascii="宋体" w:hAnsi="宋体" w:eastAsia="宋体"/>
          <w:color w:val="auto"/>
          <w:sz w:val="24"/>
        </w:rPr>
        <w:t>7）防误报功能：</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为防止长时悬浮的粉尘导致探测器误报，探测器需经不间断3分钟的灰尘测试不误报、不报故障。</w:t>
      </w:r>
    </w:p>
    <w:bookmarkEnd w:id="63"/>
    <w:bookmarkEnd w:id="64"/>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8）探测器应具有对采样进气管路气流状态的监测功能，并应在气流值到达预先设置的报警级别时，发出相应的气流报警。气流报警级别不应少于2级。</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9）采样管网</w:t>
      </w:r>
    </w:p>
    <w:p>
      <w:pPr>
        <w:pStyle w:val="36"/>
        <w:adjustRightInd w:val="0"/>
        <w:spacing w:line="360" w:lineRule="auto"/>
        <w:ind w:firstLine="480"/>
        <w:rPr>
          <w:rFonts w:ascii="宋体" w:hAnsi="宋体" w:eastAsia="宋体"/>
          <w:color w:val="auto"/>
          <w:sz w:val="24"/>
        </w:rPr>
      </w:pPr>
      <w:r>
        <w:rPr>
          <w:rFonts w:hint="eastAsia" w:ascii="宋体" w:hAnsi="宋体" w:eastAsia="宋体"/>
          <w:color w:val="auto"/>
          <w:sz w:val="24"/>
        </w:rPr>
        <w:t>采样管及配件采用PVC管时需采用耐燃材料、绝缘材料，以满足电力系统对绝缘和供电安全的要求，尤其是电力柜内部烟雾检测。采样管的接头应采用专业的采样管连接器，防止连接疲劳、胶水老化和受温度变化而松脱。</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10）按键和液晶</w:t>
      </w:r>
    </w:p>
    <w:p>
      <w:pPr>
        <w:pStyle w:val="36"/>
        <w:adjustRightInd w:val="0"/>
        <w:spacing w:line="360" w:lineRule="auto"/>
        <w:ind w:firstLine="480"/>
        <w:rPr>
          <w:rFonts w:ascii="宋体" w:hAnsi="宋体" w:eastAsia="宋体"/>
          <w:color w:val="auto"/>
          <w:sz w:val="24"/>
        </w:rPr>
      </w:pPr>
      <w:r>
        <w:rPr>
          <w:rFonts w:hint="eastAsia" w:ascii="宋体" w:hAnsi="宋体" w:eastAsia="宋体"/>
          <w:color w:val="auto"/>
          <w:sz w:val="24"/>
        </w:rPr>
        <w:t>探测器具有液晶显示和按键功能,支持现场操作和测试，为提供良好的人机界面，探测器推荐采用触摸屏，并能及时显示烟雾曲线，方便在探测器近段和探测器后台查看烟雾含量的趋势。</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11）核心部件免维护</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探测器核心部件免维护、免清洁、超长寿命。为节省运营成本，确保在运行中无耗材(例如过滤器、水等)。</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12）通信功能</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探测器应具有RS485、无线通信功能，能通过干接点接入消防系统或其他控制设备，对于电缆隧道设备能通过无线通信功能接入到消防值班室。可接入到变电站辅助控制熊。</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13）历史查询：</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探测器系统具有查询当前告警，历史告警以及事件记录（包括告警事件、控制操作及其发生时间和其他信息）。</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14）告警功能</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探测器应具有声光告警功能，当告警发生后，能发出不小65dBA的声音，同时通过关联继电器上传后台及消防系统。</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15）告警复位：</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告警产生后，允许后台用户对自动报警系统进行复位，并关闭声音报警。但只要火灾报警条件再次满足，系统还会再次报警。</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16）探测器权限配置：</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用户通过用户密码能对设备进行编程配置，包括配置报警阈值，报警延时等参数，以满足不同应用场景的要求。</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17）专用电源：</w:t>
      </w:r>
    </w:p>
    <w:p>
      <w:pPr>
        <w:pStyle w:val="36"/>
        <w:adjustRightInd w:val="0"/>
        <w:spacing w:line="360" w:lineRule="auto"/>
        <w:ind w:firstLine="360" w:firstLineChars="150"/>
        <w:rPr>
          <w:rFonts w:ascii="宋体" w:hAnsi="宋体" w:eastAsia="宋体"/>
          <w:color w:val="auto"/>
          <w:sz w:val="24"/>
        </w:rPr>
      </w:pPr>
      <w:r>
        <w:rPr>
          <w:rFonts w:hint="eastAsia" w:ascii="宋体" w:hAnsi="宋体" w:eastAsia="宋体"/>
          <w:color w:val="auto"/>
          <w:sz w:val="24"/>
        </w:rPr>
        <w:t>现场提供</w:t>
      </w:r>
      <w:r>
        <w:rPr>
          <w:rFonts w:ascii="宋体" w:hAnsi="宋体" w:eastAsia="宋体"/>
          <w:color w:val="auto"/>
          <w:sz w:val="24"/>
        </w:rPr>
        <w:t>AC</w:t>
      </w:r>
      <w:r>
        <w:rPr>
          <w:rFonts w:hint="eastAsia" w:ascii="宋体" w:hAnsi="宋体" w:eastAsia="宋体"/>
          <w:color w:val="auto"/>
          <w:sz w:val="24"/>
        </w:rPr>
        <w:t xml:space="preserve"> </w:t>
      </w:r>
      <w:r>
        <w:rPr>
          <w:rFonts w:ascii="宋体" w:hAnsi="宋体" w:eastAsia="宋体"/>
          <w:color w:val="auto"/>
          <w:sz w:val="24"/>
        </w:rPr>
        <w:t>220V</w:t>
      </w:r>
      <w:r>
        <w:rPr>
          <w:rFonts w:hint="eastAsia" w:ascii="宋体" w:hAnsi="宋体" w:eastAsia="宋体"/>
          <w:color w:val="auto"/>
          <w:sz w:val="24"/>
        </w:rPr>
        <w:t>±10%，</w:t>
      </w:r>
      <w:r>
        <w:rPr>
          <w:rFonts w:ascii="宋体" w:hAnsi="宋体" w:eastAsia="宋体"/>
          <w:color w:val="auto"/>
          <w:sz w:val="24"/>
        </w:rPr>
        <w:t xml:space="preserve"> 50Hz</w:t>
      </w:r>
      <w:r>
        <w:rPr>
          <w:rFonts w:hint="eastAsia" w:ascii="宋体" w:hAnsi="宋体" w:eastAsia="宋体"/>
          <w:color w:val="auto"/>
          <w:sz w:val="24"/>
        </w:rPr>
        <w:t>±10%火灾电源，预警系统应配置专用24V供电电源，备电时间可达到10H以上，保证火灾预警系统的可靠工作。</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18）EMC及安规要求：</w:t>
      </w:r>
    </w:p>
    <w:p>
      <w:pPr>
        <w:spacing w:beforeLines="20" w:afterLines="20" w:line="360" w:lineRule="atLeast"/>
        <w:ind w:firstLine="480" w:firstLineChars="200"/>
        <w:jc w:val="left"/>
        <w:rPr>
          <w:rFonts w:ascii="宋体" w:hAnsi="宋体"/>
          <w:color w:val="auto"/>
          <w:sz w:val="24"/>
          <w:szCs w:val="24"/>
        </w:rPr>
      </w:pPr>
      <w:r>
        <w:rPr>
          <w:rFonts w:hint="eastAsia" w:ascii="宋体" w:hAnsi="宋体"/>
          <w:color w:val="auto"/>
          <w:sz w:val="24"/>
          <w:szCs w:val="24"/>
        </w:rPr>
        <w:t>探测器EMC满足GB17626的要求,安规满足GB4943的要求。关键</w:t>
      </w:r>
      <w:r>
        <w:rPr>
          <w:rFonts w:ascii="宋体" w:hAnsi="宋体"/>
          <w:color w:val="auto"/>
          <w:sz w:val="24"/>
          <w:szCs w:val="24"/>
        </w:rPr>
        <w:t>硬件设备应具有防尘、防腐蚀、防潮、防霉、防震、抗电磁干扰和静电干扰的能力，保证安全、可靠地运行。</w:t>
      </w:r>
    </w:p>
    <w:p>
      <w:pPr>
        <w:pStyle w:val="36"/>
        <w:adjustRightInd w:val="0"/>
        <w:spacing w:line="360" w:lineRule="auto"/>
        <w:ind w:firstLine="0" w:firstLineChars="0"/>
        <w:rPr>
          <w:rFonts w:ascii="宋体" w:hAnsi="宋体" w:eastAsia="宋体"/>
          <w:color w:val="auto"/>
          <w:sz w:val="24"/>
        </w:rPr>
      </w:pPr>
      <w:r>
        <w:rPr>
          <w:rFonts w:hint="eastAsia" w:ascii="宋体" w:hAnsi="宋体" w:eastAsia="宋体"/>
          <w:color w:val="auto"/>
          <w:sz w:val="24"/>
        </w:rPr>
        <w:t>19）机壳材料</w:t>
      </w:r>
    </w:p>
    <w:p>
      <w:pPr>
        <w:pStyle w:val="36"/>
        <w:adjustRightInd w:val="0"/>
        <w:spacing w:line="360" w:lineRule="auto"/>
        <w:ind w:firstLine="480"/>
        <w:rPr>
          <w:rFonts w:ascii="宋体" w:hAnsi="宋体" w:eastAsia="宋体"/>
          <w:color w:val="auto"/>
          <w:sz w:val="24"/>
        </w:rPr>
      </w:pPr>
      <w:r>
        <w:rPr>
          <w:rFonts w:hint="eastAsia" w:ascii="宋体" w:hAnsi="宋体" w:eastAsia="宋体"/>
          <w:color w:val="auto"/>
          <w:sz w:val="24"/>
        </w:rPr>
        <w:t>机壳应为全金属外壳，以确保系统在强电磁辐射环境下的可靠运行。</w:t>
      </w:r>
    </w:p>
    <w:p>
      <w:pPr>
        <w:spacing w:line="360" w:lineRule="auto"/>
        <w:rPr>
          <w:rFonts w:ascii="仿宋_GB2312" w:hAnsi="仿宋_GB2312" w:eastAsia="仿宋_GB2312" w:cs="仿宋_GB2312"/>
          <w:color w:val="auto"/>
          <w:sz w:val="24"/>
          <w:szCs w:val="24"/>
        </w:rPr>
      </w:pPr>
      <w:bookmarkStart w:id="65" w:name="_Toc480375784"/>
      <w:r>
        <w:rPr>
          <w:rFonts w:hint="eastAsia" w:ascii="仿宋_GB2312" w:hAnsi="仿宋_GB2312" w:eastAsia="仿宋_GB2312" w:cs="仿宋_GB2312"/>
          <w:color w:val="auto"/>
          <w:sz w:val="24"/>
          <w:szCs w:val="24"/>
        </w:rPr>
        <w:t>6.3、质量保证</w:t>
      </w:r>
      <w:bookmarkEnd w:id="65"/>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6.3.1 极早期空气采样烟雾探测报警系统的设备都必须是全新的，持久耐用的，应满足作为一个完整产品所能满足的全部要求。应答人应保证整套系统在规定的使用条件下正常运行，并按使用说明书进行安装和维护、设计寿命应不少于10年。</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6.3.2 应答人应在每批设备最终验收合格后，提供其不少于12个月的“三包”质量保证。之后如发生产品损坏，应答人应及时为本组装置提供维修部件，并按最近的应答价提供。</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6.3.3 应答人应保证制造过程中的所有工艺、材料等（包括应答人的外购件在内）均应符合标准规范和本技术要求的规定。若采购人根据运行经验指定应答人提供某种外购零部件，应答人应积极配合。</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6.3.4附属及配套设备必须满足有关行业标准的要求，并提供检测报告和产品合格证。</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6.3.5 产品除应满足本规范要求外, 应答方还应提供该产品的CCCF证书、型式试验报告，商标著作权，软件著作权，专利证书，避免任何专利法律问题。</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6.3.6 应答方应保证制造过程中的所有工艺、材料试验等(包括应答方的外购件在内)均应符合本规范的规定。若采购方根据运行经验指定应答方提供某种外购零部件, 应答方应积极配合。</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6.3.7 应答产品生产应遵守通用的生产管理流程，除满足CCCF的规定外，还应满足ISO 9001 、ISO140001质量保证体系并提供相关证书。</w:t>
      </w:r>
    </w:p>
    <w:p>
      <w:pPr>
        <w:spacing w:line="360" w:lineRule="auto"/>
        <w:rPr>
          <w:rFonts w:asciiTheme="minorEastAsia" w:hAnsiTheme="minorEastAsia"/>
          <w:color w:val="auto"/>
          <w:sz w:val="24"/>
          <w:szCs w:val="24"/>
        </w:rPr>
      </w:pPr>
      <w:r>
        <w:rPr>
          <w:rFonts w:hint="eastAsia" w:asciiTheme="minorEastAsia" w:hAnsiTheme="minorEastAsia"/>
          <w:color w:val="auto"/>
          <w:sz w:val="24"/>
          <w:szCs w:val="24"/>
        </w:rPr>
        <w:t>6.3.8质保期内应答方应负责对仪器进行年度检查试验。质保期内发生任何影响设备使用的问题，应答方应提供免费上门服务，如72小时内无法完成问题处理，应答方需免费提供同级别或更高级别的替代设备供用户使用。质保期内同一设备发生3次以上质量问题的，应答方应免费更换全新的设备。</w:t>
      </w:r>
    </w:p>
    <w:p>
      <w:pPr>
        <w:rPr>
          <w:color w:val="auto"/>
        </w:rPr>
      </w:pPr>
    </w:p>
    <w:p>
      <w:pPr>
        <w:pStyle w:val="6"/>
        <w:kinsoku w:val="0"/>
        <w:overflowPunct w:val="0"/>
        <w:spacing w:before="0"/>
        <w:ind w:left="0"/>
        <w:rPr>
          <w:rFonts w:asciiTheme="minorEastAsia" w:hAnsiTheme="minorEastAsia" w:eastAsiaTheme="minorEastAsia" w:cstheme="minorBidi"/>
          <w:color w:val="auto"/>
          <w:kern w:val="2"/>
          <w:sz w:val="24"/>
          <w:szCs w:val="24"/>
        </w:rPr>
      </w:pPr>
    </w:p>
    <w:p>
      <w:pPr>
        <w:pStyle w:val="2"/>
        <w:spacing w:before="0" w:line="360" w:lineRule="auto"/>
        <w:rPr>
          <w:rFonts w:asciiTheme="minorEastAsia" w:hAnsiTheme="minorEastAsia" w:eastAsiaTheme="minorEastAsia" w:cstheme="minorBidi"/>
          <w:bCs w:val="0"/>
          <w:color w:val="auto"/>
          <w:kern w:val="2"/>
          <w:sz w:val="24"/>
          <w:szCs w:val="24"/>
        </w:rPr>
      </w:pPr>
      <w:bookmarkStart w:id="66" w:name="_Toc10895744"/>
      <w:bookmarkStart w:id="67" w:name="_Toc366153781"/>
      <w:bookmarkStart w:id="68" w:name="_Toc344628489"/>
      <w:r>
        <w:rPr>
          <w:rFonts w:hint="eastAsia" w:asciiTheme="minorEastAsia" w:hAnsiTheme="minorEastAsia" w:eastAsiaTheme="minorEastAsia" w:cstheme="minorBidi"/>
          <w:bCs w:val="0"/>
          <w:color w:val="auto"/>
          <w:kern w:val="2"/>
          <w:sz w:val="24"/>
          <w:szCs w:val="24"/>
        </w:rPr>
        <w:t>附录A 本项目人力资源配置表</w:t>
      </w:r>
      <w:bookmarkEnd w:id="66"/>
      <w:bookmarkEnd w:id="67"/>
      <w:bookmarkEnd w:id="68"/>
    </w:p>
    <w:p>
      <w:pPr>
        <w:spacing w:beforeLines="50" w:afterLines="50" w:line="360" w:lineRule="auto"/>
        <w:jc w:val="center"/>
        <w:rPr>
          <w:rFonts w:asciiTheme="minorEastAsia" w:hAnsiTheme="minorEastAsia"/>
          <w:color w:val="auto"/>
          <w:sz w:val="24"/>
          <w:szCs w:val="24"/>
        </w:rPr>
      </w:pPr>
      <w:r>
        <w:rPr>
          <w:rFonts w:hint="eastAsia" w:asciiTheme="minorEastAsia" w:hAnsiTheme="minorEastAsia"/>
          <w:color w:val="auto"/>
          <w:sz w:val="24"/>
          <w:szCs w:val="24"/>
        </w:rPr>
        <w:t>附表</w:t>
      </w:r>
      <w:r>
        <w:rPr>
          <w:rFonts w:asciiTheme="minorEastAsia" w:hAnsiTheme="minorEastAsia"/>
          <w:color w:val="auto"/>
          <w:sz w:val="24"/>
          <w:szCs w:val="24"/>
        </w:rPr>
        <w:t>B</w:t>
      </w:r>
      <w:r>
        <w:rPr>
          <w:rFonts w:hint="eastAsia" w:asciiTheme="minorEastAsia" w:hAnsiTheme="minorEastAsia"/>
          <w:color w:val="auto"/>
          <w:sz w:val="24"/>
          <w:szCs w:val="24"/>
        </w:rPr>
        <w:t>－1  本项目人力资源配置表</w:t>
      </w:r>
    </w:p>
    <w:p>
      <w:pPr>
        <w:rPr>
          <w:rFonts w:asciiTheme="minorEastAsia" w:hAnsiTheme="minorEastAsia"/>
          <w:color w:val="auto"/>
          <w:sz w:val="24"/>
          <w:szCs w:val="24"/>
        </w:rPr>
      </w:pPr>
      <w:r>
        <w:rPr>
          <w:rFonts w:hint="eastAsia" w:asciiTheme="minorEastAsia" w:hAnsiTheme="minorEastAsia"/>
          <w:color w:val="auto"/>
          <w:sz w:val="24"/>
          <w:szCs w:val="24"/>
        </w:rPr>
        <w:t>投标人名称：　　　　　　　　　　　　　　　　　</w:t>
      </w:r>
    </w:p>
    <w:p>
      <w:pPr>
        <w:rPr>
          <w:rFonts w:asciiTheme="minorEastAsia" w:hAnsiTheme="minorEastAsia"/>
          <w:color w:val="auto"/>
          <w:sz w:val="24"/>
          <w:szCs w:val="24"/>
        </w:rPr>
      </w:pPr>
    </w:p>
    <w:tbl>
      <w:tblPr>
        <w:tblStyle w:val="17"/>
        <w:tblW w:w="9034"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987"/>
        <w:gridCol w:w="1356"/>
        <w:gridCol w:w="1789"/>
        <w:gridCol w:w="223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686"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序号</w:t>
            </w:r>
          </w:p>
        </w:tc>
        <w:tc>
          <w:tcPr>
            <w:tcW w:w="987"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姓名</w:t>
            </w:r>
          </w:p>
        </w:tc>
        <w:tc>
          <w:tcPr>
            <w:tcW w:w="1356"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职称/职务</w:t>
            </w:r>
          </w:p>
        </w:tc>
        <w:tc>
          <w:tcPr>
            <w:tcW w:w="1789"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本项目岗位职责</w:t>
            </w:r>
          </w:p>
        </w:tc>
        <w:tc>
          <w:tcPr>
            <w:tcW w:w="2231"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本项目岗位工作年限</w:t>
            </w:r>
          </w:p>
        </w:tc>
        <w:tc>
          <w:tcPr>
            <w:tcW w:w="1985" w:type="dxa"/>
            <w:vAlign w:val="center"/>
          </w:tcPr>
          <w:p>
            <w:pPr>
              <w:spacing w:line="360" w:lineRule="exact"/>
              <w:jc w:val="center"/>
              <w:rPr>
                <w:rFonts w:asciiTheme="minorEastAsia" w:hAnsiTheme="minorEastAsia"/>
                <w:color w:val="auto"/>
                <w:sz w:val="24"/>
                <w:szCs w:val="24"/>
              </w:rPr>
            </w:pPr>
            <w:r>
              <w:rPr>
                <w:rFonts w:hint="eastAsia" w:asciiTheme="minorEastAsia" w:hAnsiTheme="minorEastAsia"/>
                <w:color w:val="auto"/>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686" w:type="dxa"/>
          </w:tcPr>
          <w:p>
            <w:pPr>
              <w:spacing w:line="360" w:lineRule="exact"/>
              <w:jc w:val="center"/>
              <w:rPr>
                <w:rFonts w:asciiTheme="minorEastAsia" w:hAnsiTheme="minorEastAsia"/>
                <w:color w:val="auto"/>
                <w:sz w:val="24"/>
                <w:szCs w:val="24"/>
              </w:rPr>
            </w:pPr>
          </w:p>
        </w:tc>
        <w:tc>
          <w:tcPr>
            <w:tcW w:w="987" w:type="dxa"/>
          </w:tcPr>
          <w:p>
            <w:pPr>
              <w:spacing w:line="360" w:lineRule="exact"/>
              <w:jc w:val="center"/>
              <w:rPr>
                <w:rFonts w:asciiTheme="minorEastAsia" w:hAnsiTheme="minorEastAsia"/>
                <w:color w:val="auto"/>
                <w:sz w:val="24"/>
                <w:szCs w:val="24"/>
              </w:rPr>
            </w:pPr>
          </w:p>
        </w:tc>
        <w:tc>
          <w:tcPr>
            <w:tcW w:w="1356" w:type="dxa"/>
          </w:tcPr>
          <w:p>
            <w:pPr>
              <w:spacing w:line="360" w:lineRule="exact"/>
              <w:jc w:val="center"/>
              <w:rPr>
                <w:rFonts w:asciiTheme="minorEastAsia" w:hAnsiTheme="minorEastAsia"/>
                <w:color w:val="auto"/>
                <w:sz w:val="24"/>
                <w:szCs w:val="24"/>
              </w:rPr>
            </w:pPr>
          </w:p>
        </w:tc>
        <w:tc>
          <w:tcPr>
            <w:tcW w:w="1789" w:type="dxa"/>
          </w:tcPr>
          <w:p>
            <w:pPr>
              <w:spacing w:line="360" w:lineRule="exact"/>
              <w:jc w:val="center"/>
              <w:rPr>
                <w:rFonts w:asciiTheme="minorEastAsia" w:hAnsiTheme="minorEastAsia"/>
                <w:color w:val="auto"/>
                <w:sz w:val="24"/>
                <w:szCs w:val="24"/>
              </w:rPr>
            </w:pPr>
          </w:p>
        </w:tc>
        <w:tc>
          <w:tcPr>
            <w:tcW w:w="2231" w:type="dxa"/>
          </w:tcPr>
          <w:p>
            <w:pPr>
              <w:spacing w:line="360" w:lineRule="exact"/>
              <w:jc w:val="center"/>
              <w:rPr>
                <w:rFonts w:asciiTheme="minorEastAsia" w:hAnsiTheme="minorEastAsia"/>
                <w:color w:val="auto"/>
                <w:sz w:val="24"/>
                <w:szCs w:val="24"/>
              </w:rPr>
            </w:pPr>
          </w:p>
        </w:tc>
        <w:tc>
          <w:tcPr>
            <w:tcW w:w="1985" w:type="dxa"/>
          </w:tcPr>
          <w:p>
            <w:pPr>
              <w:spacing w:line="360" w:lineRule="exact"/>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686" w:type="dxa"/>
          </w:tcPr>
          <w:p>
            <w:pPr>
              <w:spacing w:line="360" w:lineRule="exact"/>
              <w:jc w:val="center"/>
              <w:rPr>
                <w:rFonts w:asciiTheme="minorEastAsia" w:hAnsiTheme="minorEastAsia"/>
                <w:color w:val="auto"/>
                <w:sz w:val="24"/>
                <w:szCs w:val="24"/>
              </w:rPr>
            </w:pPr>
          </w:p>
        </w:tc>
        <w:tc>
          <w:tcPr>
            <w:tcW w:w="987" w:type="dxa"/>
          </w:tcPr>
          <w:p>
            <w:pPr>
              <w:spacing w:line="360" w:lineRule="exact"/>
              <w:jc w:val="center"/>
              <w:rPr>
                <w:rFonts w:asciiTheme="minorEastAsia" w:hAnsiTheme="minorEastAsia"/>
                <w:color w:val="auto"/>
                <w:sz w:val="24"/>
                <w:szCs w:val="24"/>
              </w:rPr>
            </w:pPr>
          </w:p>
        </w:tc>
        <w:tc>
          <w:tcPr>
            <w:tcW w:w="1356" w:type="dxa"/>
          </w:tcPr>
          <w:p>
            <w:pPr>
              <w:spacing w:line="360" w:lineRule="exact"/>
              <w:jc w:val="center"/>
              <w:rPr>
                <w:rFonts w:asciiTheme="minorEastAsia" w:hAnsiTheme="minorEastAsia"/>
                <w:color w:val="auto"/>
                <w:sz w:val="24"/>
                <w:szCs w:val="24"/>
              </w:rPr>
            </w:pPr>
          </w:p>
        </w:tc>
        <w:tc>
          <w:tcPr>
            <w:tcW w:w="1789" w:type="dxa"/>
          </w:tcPr>
          <w:p>
            <w:pPr>
              <w:spacing w:line="360" w:lineRule="exact"/>
              <w:jc w:val="center"/>
              <w:rPr>
                <w:rFonts w:asciiTheme="minorEastAsia" w:hAnsiTheme="minorEastAsia"/>
                <w:color w:val="auto"/>
                <w:sz w:val="24"/>
                <w:szCs w:val="24"/>
              </w:rPr>
            </w:pPr>
          </w:p>
        </w:tc>
        <w:tc>
          <w:tcPr>
            <w:tcW w:w="2231" w:type="dxa"/>
          </w:tcPr>
          <w:p>
            <w:pPr>
              <w:spacing w:line="360" w:lineRule="exact"/>
              <w:jc w:val="center"/>
              <w:rPr>
                <w:rFonts w:asciiTheme="minorEastAsia" w:hAnsiTheme="minorEastAsia"/>
                <w:color w:val="auto"/>
                <w:sz w:val="24"/>
                <w:szCs w:val="24"/>
              </w:rPr>
            </w:pPr>
          </w:p>
        </w:tc>
        <w:tc>
          <w:tcPr>
            <w:tcW w:w="1985" w:type="dxa"/>
          </w:tcPr>
          <w:p>
            <w:pPr>
              <w:spacing w:line="360" w:lineRule="exact"/>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86" w:type="dxa"/>
          </w:tcPr>
          <w:p>
            <w:pPr>
              <w:spacing w:line="360" w:lineRule="exact"/>
              <w:jc w:val="center"/>
              <w:rPr>
                <w:rFonts w:asciiTheme="minorEastAsia" w:hAnsiTheme="minorEastAsia"/>
                <w:color w:val="auto"/>
                <w:sz w:val="24"/>
                <w:szCs w:val="24"/>
              </w:rPr>
            </w:pPr>
          </w:p>
        </w:tc>
        <w:tc>
          <w:tcPr>
            <w:tcW w:w="987" w:type="dxa"/>
          </w:tcPr>
          <w:p>
            <w:pPr>
              <w:spacing w:line="360" w:lineRule="exact"/>
              <w:jc w:val="center"/>
              <w:rPr>
                <w:rFonts w:asciiTheme="minorEastAsia" w:hAnsiTheme="minorEastAsia"/>
                <w:color w:val="auto"/>
                <w:sz w:val="24"/>
                <w:szCs w:val="24"/>
              </w:rPr>
            </w:pPr>
          </w:p>
        </w:tc>
        <w:tc>
          <w:tcPr>
            <w:tcW w:w="1356" w:type="dxa"/>
          </w:tcPr>
          <w:p>
            <w:pPr>
              <w:spacing w:line="360" w:lineRule="exact"/>
              <w:jc w:val="center"/>
              <w:rPr>
                <w:rFonts w:asciiTheme="minorEastAsia" w:hAnsiTheme="minorEastAsia"/>
                <w:color w:val="auto"/>
                <w:sz w:val="24"/>
                <w:szCs w:val="24"/>
              </w:rPr>
            </w:pPr>
          </w:p>
        </w:tc>
        <w:tc>
          <w:tcPr>
            <w:tcW w:w="1789" w:type="dxa"/>
          </w:tcPr>
          <w:p>
            <w:pPr>
              <w:spacing w:line="360" w:lineRule="exact"/>
              <w:jc w:val="center"/>
              <w:rPr>
                <w:rFonts w:asciiTheme="minorEastAsia" w:hAnsiTheme="minorEastAsia"/>
                <w:color w:val="auto"/>
                <w:sz w:val="24"/>
                <w:szCs w:val="24"/>
              </w:rPr>
            </w:pPr>
          </w:p>
        </w:tc>
        <w:tc>
          <w:tcPr>
            <w:tcW w:w="2231" w:type="dxa"/>
          </w:tcPr>
          <w:p>
            <w:pPr>
              <w:spacing w:line="360" w:lineRule="exact"/>
              <w:jc w:val="center"/>
              <w:rPr>
                <w:rFonts w:asciiTheme="minorEastAsia" w:hAnsiTheme="minorEastAsia"/>
                <w:color w:val="auto"/>
                <w:sz w:val="24"/>
                <w:szCs w:val="24"/>
              </w:rPr>
            </w:pPr>
          </w:p>
        </w:tc>
        <w:tc>
          <w:tcPr>
            <w:tcW w:w="1985" w:type="dxa"/>
          </w:tcPr>
          <w:p>
            <w:pPr>
              <w:spacing w:line="360" w:lineRule="exact"/>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686" w:type="dxa"/>
          </w:tcPr>
          <w:p>
            <w:pPr>
              <w:spacing w:line="360" w:lineRule="exact"/>
              <w:jc w:val="center"/>
              <w:rPr>
                <w:rFonts w:asciiTheme="minorEastAsia" w:hAnsiTheme="minorEastAsia"/>
                <w:color w:val="auto"/>
                <w:sz w:val="24"/>
                <w:szCs w:val="24"/>
              </w:rPr>
            </w:pPr>
          </w:p>
        </w:tc>
        <w:tc>
          <w:tcPr>
            <w:tcW w:w="987" w:type="dxa"/>
          </w:tcPr>
          <w:p>
            <w:pPr>
              <w:spacing w:line="360" w:lineRule="exact"/>
              <w:jc w:val="center"/>
              <w:rPr>
                <w:rFonts w:asciiTheme="minorEastAsia" w:hAnsiTheme="minorEastAsia"/>
                <w:color w:val="auto"/>
                <w:sz w:val="24"/>
                <w:szCs w:val="24"/>
              </w:rPr>
            </w:pPr>
          </w:p>
        </w:tc>
        <w:tc>
          <w:tcPr>
            <w:tcW w:w="1356" w:type="dxa"/>
          </w:tcPr>
          <w:p>
            <w:pPr>
              <w:spacing w:line="360" w:lineRule="exact"/>
              <w:jc w:val="center"/>
              <w:rPr>
                <w:rFonts w:asciiTheme="minorEastAsia" w:hAnsiTheme="minorEastAsia"/>
                <w:color w:val="auto"/>
                <w:sz w:val="24"/>
                <w:szCs w:val="24"/>
              </w:rPr>
            </w:pPr>
          </w:p>
        </w:tc>
        <w:tc>
          <w:tcPr>
            <w:tcW w:w="1789" w:type="dxa"/>
          </w:tcPr>
          <w:p>
            <w:pPr>
              <w:spacing w:line="360" w:lineRule="exact"/>
              <w:jc w:val="center"/>
              <w:rPr>
                <w:rFonts w:asciiTheme="minorEastAsia" w:hAnsiTheme="minorEastAsia"/>
                <w:color w:val="auto"/>
                <w:sz w:val="24"/>
                <w:szCs w:val="24"/>
              </w:rPr>
            </w:pPr>
          </w:p>
        </w:tc>
        <w:tc>
          <w:tcPr>
            <w:tcW w:w="2231" w:type="dxa"/>
          </w:tcPr>
          <w:p>
            <w:pPr>
              <w:spacing w:line="360" w:lineRule="exact"/>
              <w:jc w:val="center"/>
              <w:rPr>
                <w:rFonts w:asciiTheme="minorEastAsia" w:hAnsiTheme="minorEastAsia"/>
                <w:color w:val="auto"/>
                <w:sz w:val="24"/>
                <w:szCs w:val="24"/>
              </w:rPr>
            </w:pPr>
          </w:p>
        </w:tc>
        <w:tc>
          <w:tcPr>
            <w:tcW w:w="1985" w:type="dxa"/>
          </w:tcPr>
          <w:p>
            <w:pPr>
              <w:spacing w:line="360" w:lineRule="exact"/>
              <w:jc w:val="center"/>
              <w:rPr>
                <w:rFonts w:asciiTheme="minorEastAsia" w:hAnsiTheme="minorEastAsia"/>
                <w:color w:val="auto"/>
                <w:sz w:val="24"/>
                <w:szCs w:val="24"/>
              </w:rPr>
            </w:pPr>
          </w:p>
        </w:tc>
      </w:tr>
    </w:tbl>
    <w:p>
      <w:pPr>
        <w:rPr>
          <w:rFonts w:asciiTheme="minorEastAsia" w:hAnsiTheme="minorEastAsia"/>
          <w:color w:val="auto"/>
          <w:sz w:val="24"/>
          <w:szCs w:val="24"/>
        </w:rPr>
      </w:pPr>
    </w:p>
    <w:p>
      <w:pPr>
        <w:pStyle w:val="2"/>
        <w:spacing w:before="0" w:line="360" w:lineRule="auto"/>
        <w:rPr>
          <w:rFonts w:asciiTheme="minorEastAsia" w:hAnsiTheme="minorEastAsia" w:eastAsiaTheme="minorEastAsia" w:cstheme="minorBidi"/>
          <w:bCs w:val="0"/>
          <w:color w:val="auto"/>
          <w:kern w:val="2"/>
          <w:sz w:val="24"/>
          <w:szCs w:val="24"/>
        </w:rPr>
      </w:pPr>
      <w:bookmarkStart w:id="69" w:name="_Toc366153782"/>
      <w:bookmarkStart w:id="70" w:name="_Toc344628490"/>
      <w:bookmarkStart w:id="71" w:name="_Toc10895745"/>
      <w:r>
        <w:rPr>
          <w:rFonts w:hint="eastAsia" w:asciiTheme="minorEastAsia" w:hAnsiTheme="minorEastAsia" w:eastAsiaTheme="minorEastAsia" w:cstheme="minorBidi"/>
          <w:bCs w:val="0"/>
          <w:color w:val="auto"/>
          <w:kern w:val="2"/>
          <w:sz w:val="24"/>
          <w:szCs w:val="24"/>
        </w:rPr>
        <w:t>附录B 技</w:t>
      </w:r>
      <w:r>
        <w:rPr>
          <w:rFonts w:asciiTheme="minorEastAsia" w:hAnsiTheme="minorEastAsia" w:eastAsiaTheme="minorEastAsia" w:cstheme="minorBidi"/>
          <w:bCs w:val="0"/>
          <w:color w:val="auto"/>
          <w:kern w:val="2"/>
          <w:sz w:val="24"/>
          <w:szCs w:val="24"/>
        </w:rPr>
        <w:t>术</w:t>
      </w:r>
      <w:r>
        <w:rPr>
          <w:rFonts w:hint="eastAsia" w:asciiTheme="minorEastAsia" w:hAnsiTheme="minorEastAsia" w:eastAsiaTheme="minorEastAsia" w:cstheme="minorBidi"/>
          <w:bCs w:val="0"/>
          <w:color w:val="auto"/>
          <w:kern w:val="2"/>
          <w:sz w:val="24"/>
          <w:szCs w:val="24"/>
        </w:rPr>
        <w:t>偏</w:t>
      </w:r>
      <w:r>
        <w:rPr>
          <w:rFonts w:asciiTheme="minorEastAsia" w:hAnsiTheme="minorEastAsia" w:eastAsiaTheme="minorEastAsia" w:cstheme="minorBidi"/>
          <w:bCs w:val="0"/>
          <w:color w:val="auto"/>
          <w:kern w:val="2"/>
          <w:sz w:val="24"/>
          <w:szCs w:val="24"/>
        </w:rPr>
        <w:t>差</w:t>
      </w:r>
      <w:r>
        <w:rPr>
          <w:rFonts w:hint="eastAsia" w:asciiTheme="minorEastAsia" w:hAnsiTheme="minorEastAsia" w:eastAsiaTheme="minorEastAsia" w:cstheme="minorBidi"/>
          <w:bCs w:val="0"/>
          <w:color w:val="auto"/>
          <w:kern w:val="2"/>
          <w:sz w:val="24"/>
          <w:szCs w:val="24"/>
        </w:rPr>
        <w:t>表</w:t>
      </w:r>
      <w:bookmarkEnd w:id="69"/>
      <w:bookmarkEnd w:id="70"/>
      <w:bookmarkEnd w:id="71"/>
    </w:p>
    <w:p>
      <w:pPr>
        <w:spacing w:beforeLines="50" w:afterLines="50" w:line="360" w:lineRule="auto"/>
        <w:jc w:val="center"/>
        <w:rPr>
          <w:rFonts w:asciiTheme="minorEastAsia" w:hAnsiTheme="minorEastAsia"/>
          <w:color w:val="auto"/>
          <w:sz w:val="24"/>
          <w:szCs w:val="24"/>
        </w:rPr>
      </w:pPr>
      <w:r>
        <w:rPr>
          <w:rFonts w:hint="eastAsia" w:asciiTheme="minorEastAsia" w:hAnsiTheme="minorEastAsia"/>
          <w:color w:val="auto"/>
          <w:sz w:val="24"/>
          <w:szCs w:val="24"/>
        </w:rPr>
        <w:t>表</w:t>
      </w:r>
      <w:r>
        <w:rPr>
          <w:rFonts w:asciiTheme="minorEastAsia" w:hAnsiTheme="minorEastAsia"/>
          <w:color w:val="auto"/>
          <w:sz w:val="24"/>
          <w:szCs w:val="24"/>
        </w:rPr>
        <w:t>C</w:t>
      </w:r>
      <w:r>
        <w:rPr>
          <w:rFonts w:hint="eastAsia" w:asciiTheme="minorEastAsia" w:hAnsiTheme="minorEastAsia"/>
          <w:color w:val="auto"/>
          <w:sz w:val="24"/>
          <w:szCs w:val="24"/>
        </w:rPr>
        <w:t>－1 技术偏差表</w:t>
      </w:r>
    </w:p>
    <w:tbl>
      <w:tblPr>
        <w:tblStyle w:val="1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95"/>
        <w:gridCol w:w="1816"/>
        <w:gridCol w:w="2260"/>
        <w:gridCol w:w="175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25"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序号</w:t>
            </w:r>
          </w:p>
        </w:tc>
        <w:tc>
          <w:tcPr>
            <w:tcW w:w="1195"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项目</w:t>
            </w:r>
          </w:p>
        </w:tc>
        <w:tc>
          <w:tcPr>
            <w:tcW w:w="1816"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对应条款编号</w:t>
            </w:r>
          </w:p>
        </w:tc>
        <w:tc>
          <w:tcPr>
            <w:tcW w:w="2260"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技术规范要求</w:t>
            </w:r>
          </w:p>
        </w:tc>
        <w:tc>
          <w:tcPr>
            <w:tcW w:w="1756"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偏差</w:t>
            </w:r>
          </w:p>
        </w:tc>
        <w:tc>
          <w:tcPr>
            <w:tcW w:w="1270" w:type="dxa"/>
            <w:vAlign w:val="center"/>
          </w:tcPr>
          <w:p>
            <w:pPr>
              <w:jc w:val="center"/>
              <w:rPr>
                <w:rFonts w:asciiTheme="minorEastAsia" w:hAnsiTheme="minorEastAsia"/>
                <w:color w:val="auto"/>
                <w:sz w:val="24"/>
                <w:szCs w:val="24"/>
              </w:rPr>
            </w:pPr>
            <w:r>
              <w:rPr>
                <w:rFonts w:hint="eastAsia" w:asciiTheme="minorEastAsia" w:hAnsiTheme="minorEastAsia"/>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25" w:type="dxa"/>
          </w:tcPr>
          <w:p>
            <w:pPr>
              <w:jc w:val="center"/>
              <w:rPr>
                <w:rFonts w:asciiTheme="minorEastAsia" w:hAnsiTheme="minorEastAsia"/>
                <w:color w:val="auto"/>
                <w:sz w:val="24"/>
                <w:szCs w:val="24"/>
              </w:rPr>
            </w:pPr>
          </w:p>
        </w:tc>
        <w:tc>
          <w:tcPr>
            <w:tcW w:w="1195" w:type="dxa"/>
          </w:tcPr>
          <w:p>
            <w:pPr>
              <w:jc w:val="center"/>
              <w:rPr>
                <w:rFonts w:asciiTheme="minorEastAsia" w:hAnsiTheme="minorEastAsia"/>
                <w:color w:val="auto"/>
                <w:sz w:val="24"/>
                <w:szCs w:val="24"/>
              </w:rPr>
            </w:pPr>
          </w:p>
        </w:tc>
        <w:tc>
          <w:tcPr>
            <w:tcW w:w="1816" w:type="dxa"/>
          </w:tcPr>
          <w:p>
            <w:pPr>
              <w:jc w:val="center"/>
              <w:rPr>
                <w:rFonts w:asciiTheme="minorEastAsia" w:hAnsiTheme="minorEastAsia"/>
                <w:color w:val="auto"/>
                <w:sz w:val="24"/>
                <w:szCs w:val="24"/>
              </w:rPr>
            </w:pPr>
          </w:p>
        </w:tc>
        <w:tc>
          <w:tcPr>
            <w:tcW w:w="2260" w:type="dxa"/>
          </w:tcPr>
          <w:p>
            <w:pPr>
              <w:jc w:val="center"/>
              <w:rPr>
                <w:rFonts w:asciiTheme="minorEastAsia" w:hAnsiTheme="minorEastAsia"/>
                <w:color w:val="auto"/>
                <w:sz w:val="24"/>
                <w:szCs w:val="24"/>
              </w:rPr>
            </w:pPr>
          </w:p>
        </w:tc>
        <w:tc>
          <w:tcPr>
            <w:tcW w:w="1756" w:type="dxa"/>
          </w:tcPr>
          <w:p>
            <w:pPr>
              <w:jc w:val="center"/>
              <w:rPr>
                <w:rFonts w:asciiTheme="minorEastAsia" w:hAnsiTheme="minorEastAsia"/>
                <w:color w:val="auto"/>
                <w:sz w:val="24"/>
                <w:szCs w:val="24"/>
              </w:rPr>
            </w:pPr>
          </w:p>
        </w:tc>
        <w:tc>
          <w:tcPr>
            <w:tcW w:w="1270" w:type="dxa"/>
          </w:tcPr>
          <w:p>
            <w:pPr>
              <w:jc w:val="center"/>
              <w:rPr>
                <w:rFonts w:asciiTheme="minorEastAsia" w:hAnsiTheme="minorEastAsia"/>
                <w:color w:val="auto"/>
                <w:sz w:val="24"/>
                <w:szCs w:val="24"/>
              </w:rPr>
            </w:pPr>
          </w:p>
        </w:tc>
      </w:tr>
    </w:tbl>
    <w:p>
      <w:pPr>
        <w:rPr>
          <w:rFonts w:asciiTheme="minorEastAsia" w:hAnsiTheme="minorEastAsia"/>
          <w:color w:val="auto"/>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14" w:lineRule="auto"/>
      <w:ind w:left="0"/>
      <w:rPr>
        <w:rFonts w:ascii="Times New Roman" w:cs="Times New Roman" w:eastAsiaTheme="minorEastAsia"/>
        <w:sz w:val="20"/>
        <w:szCs w:val="20"/>
      </w:rPr>
    </w:pPr>
    <w:r>
      <w:pict>
        <v:shape id="文本框 113" o:spid="_x0000_s4097" o:spt="202" type="#_x0000_t202" style="position:absolute;left:0pt;margin-left:292.1pt;margin-top:754.95pt;height:11pt;width:11.15pt;mso-position-horizontal-relative:page;mso-position-vertical-relative:page;z-index:-251658240;mso-width-relative:page;mso-height-relative:page;" filled="f" stroked="f"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MTwgIAALQFAAAOAAAAZHJzL2Uyb0RvYy54bWysVM2O0zAQviPxDpbv2STdtNtEm652mwYh&#10;LT/SwgO4idNYOHaw3SYL4gpvwIkLd55rn4Ox07T7c0FADtbEnvnm75s5v+gbjnZUaSZFisOTACMq&#10;ClkysUnx+3e5N8dIGyJKwqWgKb6lGl8snj8779qETmQteUkVAhChk65NcW1Mm/i+LmraEH0iWyrg&#10;sZKqIQZ+1cYvFekAveH+JAhmfidV2SpZUK3hNhse8cLhVxUtzJuq0tQgnmKIzbhTuXNtT39xTpKN&#10;Im3Nin0Y5C+iaAgT4PQAlRFD0FaxJ1ANK5TUsjInhWx8WVWsoC4HyCYMHmVzU5OWulygOLo9lEn/&#10;P9ji9e6tQqyE3oWnGAnSQJPuvn+7+/Hr7udXZC+hRF2rE9C8aUHX9FeyB3WXrm6vZfFBIyGXNREb&#10;eqmU7GpKSggxtJb+PdMBR1uQdfdKluCJbI10QH2lGls/qAgCdGjV7aE9tDeosC6jcBZMMSrgKTyN&#10;zwLXPp8ko3GrtHlBZYOskGIF3XfgZHetjQ2GJKOK9SVkzjh3DODiwQUoDjfgGkztmw3CNfRzHMSr&#10;+WoeedFktvKiIMu8y3wZebM8PJtmp9lymYVfrN8wSmpWllRYNyO5wujPmren+UCLA7205Ky0cDYk&#10;rTbrJVdoR4DcuftcyeHlqOY/DMMVAXJ5lFI4iYKrSezls/mZF+XR1IPyzr0gjK/iWRDFUZY/TOma&#10;CfrvKaEuxfF0Mh24dAz6UW6B+57mRpKGGVgfnDUpnh+USGIZuBKla60hjA/yvVLY8I+lgHaPjXZ8&#10;tRQdyGr6de+m4zAGa1neAoGVBIIBS2H1gVBL9QmjDtZIivXHLVEUI/5SwBDYnTMKahTWo0BEAaYp&#10;NhgN4tIMu2nbKrapAXkYMyEvYVAq5khsJ2qIYj9esBpcLvs1ZnfP/X+ndVy2i98AAAD//wMAUEsD&#10;BBQABgAIAAAAIQCBY2zP4QAAAA0BAAAPAAAAZHJzL2Rvd25yZXYueG1sTI/BTsMwDIbvSLxDZCRu&#10;LNmg1VqaThOCExKiKweOaZO10RqnNNlW3h7vNI72/+n352Izu4GdzBSsRwnLhQBmsPXaYifhq357&#10;WAMLUaFWg0cj4dcE2JS3N4XKtT9jZU672DEqwZArCX2MY855aHvjVFj40SBlez85FWmcOq4ndaZy&#10;N/CVECl3yiJd6NVoXnrTHnZHJ2H7jdWr/floPqt9Zes6E/ieHqS8v5u3z8CimeMVhos+qUNJTo0/&#10;og5skJCsn1aEUpCILANGSCrSBFhzWT0uM+Blwf9/Uf4BAAD//wMAUEsBAi0AFAAGAAgAAAAhALaD&#10;OJL+AAAA4QEAABMAAAAAAAAAAAAAAAAAAAAAAFtDb250ZW50X1R5cGVzXS54bWxQSwECLQAUAAYA&#10;CAAAACEAOP0h/9YAAACUAQAACwAAAAAAAAAAAAAAAAAvAQAAX3JlbHMvLnJlbHNQSwECLQAUAAYA&#10;CAAAACEAU74zE8ICAAC0BQAADgAAAAAAAAAAAAAAAAAuAgAAZHJzL2Uyb0RvYy54bWxQSwECLQAU&#10;AAYACAAAACEAgWNsz+EAAAANAQAADwAAAAAAAAAAAAAAAAAcBQAAZHJzL2Rvd25yZXYueG1sUEsF&#10;BgAAAAAEAAQA8wAAACoGAAAAAA==&#10;">
          <v:path/>
          <v:fill on="f" focussize="0,0"/>
          <v:stroke on="f" joinstyle="miter"/>
          <v:imagedata o:title=""/>
          <o:lock v:ext="edit"/>
          <v:textbox inset="0mm,0mm,0mm,0mm">
            <w:txbxContent>
              <w:p>
                <w:pPr>
                  <w:pStyle w:val="6"/>
                  <w:kinsoku w:val="0"/>
                  <w:overflowPunct w:val="0"/>
                  <w:spacing w:before="0" w:line="203" w:lineRule="exact"/>
                  <w:ind w:left="20"/>
                  <w:rPr>
                    <w:rFonts w:ascii="Calibri" w:hAnsi="Calibri" w:cs="Calibri" w:eastAsiaTheme="minorEastAsia"/>
                    <w:sz w:val="18"/>
                    <w:szCs w:val="18"/>
                  </w:rPr>
                </w:pPr>
                <w:r>
                  <w:rPr>
                    <w:rFonts w:ascii="Calibri" w:hAnsi="Calibri" w:cs="Calibri" w:eastAsiaTheme="minorEastAsia"/>
                    <w:sz w:val="18"/>
                    <w:szCs w:val="18"/>
                  </w:rPr>
                  <w:t>80</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C6493"/>
    <w:rsid w:val="00005AF9"/>
    <w:rsid w:val="00032F6A"/>
    <w:rsid w:val="00075F2E"/>
    <w:rsid w:val="00096918"/>
    <w:rsid w:val="000A7F4B"/>
    <w:rsid w:val="000C6CDF"/>
    <w:rsid w:val="000D528E"/>
    <w:rsid w:val="000E46FC"/>
    <w:rsid w:val="000F4CD1"/>
    <w:rsid w:val="000F6003"/>
    <w:rsid w:val="00114901"/>
    <w:rsid w:val="00127B30"/>
    <w:rsid w:val="00131C80"/>
    <w:rsid w:val="001342F3"/>
    <w:rsid w:val="0014474B"/>
    <w:rsid w:val="00155F78"/>
    <w:rsid w:val="00163275"/>
    <w:rsid w:val="00174F37"/>
    <w:rsid w:val="001A45B3"/>
    <w:rsid w:val="001A7632"/>
    <w:rsid w:val="001B5B8A"/>
    <w:rsid w:val="001E0E6F"/>
    <w:rsid w:val="001E7D45"/>
    <w:rsid w:val="00201998"/>
    <w:rsid w:val="0022054D"/>
    <w:rsid w:val="0022210C"/>
    <w:rsid w:val="002303EE"/>
    <w:rsid w:val="00251930"/>
    <w:rsid w:val="00282D11"/>
    <w:rsid w:val="002A0B1F"/>
    <w:rsid w:val="002A7354"/>
    <w:rsid w:val="002E03B7"/>
    <w:rsid w:val="002F2488"/>
    <w:rsid w:val="002F61E1"/>
    <w:rsid w:val="003737D8"/>
    <w:rsid w:val="00373FDF"/>
    <w:rsid w:val="003764A7"/>
    <w:rsid w:val="00385991"/>
    <w:rsid w:val="003B7F87"/>
    <w:rsid w:val="003C6493"/>
    <w:rsid w:val="003E6579"/>
    <w:rsid w:val="00424806"/>
    <w:rsid w:val="00426AC3"/>
    <w:rsid w:val="00436273"/>
    <w:rsid w:val="00451E47"/>
    <w:rsid w:val="004A2756"/>
    <w:rsid w:val="004B0496"/>
    <w:rsid w:val="004F7713"/>
    <w:rsid w:val="00516C42"/>
    <w:rsid w:val="0052470A"/>
    <w:rsid w:val="00561D01"/>
    <w:rsid w:val="00585751"/>
    <w:rsid w:val="005B5188"/>
    <w:rsid w:val="005B5503"/>
    <w:rsid w:val="005B70E5"/>
    <w:rsid w:val="005D16C5"/>
    <w:rsid w:val="005D3A51"/>
    <w:rsid w:val="005E5992"/>
    <w:rsid w:val="00607DDA"/>
    <w:rsid w:val="00615904"/>
    <w:rsid w:val="0063058B"/>
    <w:rsid w:val="00643433"/>
    <w:rsid w:val="006730D8"/>
    <w:rsid w:val="007002D2"/>
    <w:rsid w:val="00734834"/>
    <w:rsid w:val="007417BA"/>
    <w:rsid w:val="00785076"/>
    <w:rsid w:val="007A1724"/>
    <w:rsid w:val="008230C8"/>
    <w:rsid w:val="00825653"/>
    <w:rsid w:val="008372A6"/>
    <w:rsid w:val="0084507E"/>
    <w:rsid w:val="0085098D"/>
    <w:rsid w:val="00851FC2"/>
    <w:rsid w:val="0085459E"/>
    <w:rsid w:val="008C3E49"/>
    <w:rsid w:val="008C646A"/>
    <w:rsid w:val="008D413F"/>
    <w:rsid w:val="008E2D5D"/>
    <w:rsid w:val="00902837"/>
    <w:rsid w:val="009075B2"/>
    <w:rsid w:val="0091282E"/>
    <w:rsid w:val="00931BAB"/>
    <w:rsid w:val="009341E3"/>
    <w:rsid w:val="009C4CC9"/>
    <w:rsid w:val="009C75F4"/>
    <w:rsid w:val="009D4AF7"/>
    <w:rsid w:val="009D4BDA"/>
    <w:rsid w:val="009E768E"/>
    <w:rsid w:val="009E77AD"/>
    <w:rsid w:val="00A117D8"/>
    <w:rsid w:val="00A72B0E"/>
    <w:rsid w:val="00AC2737"/>
    <w:rsid w:val="00AE5052"/>
    <w:rsid w:val="00AF76D3"/>
    <w:rsid w:val="00B073AF"/>
    <w:rsid w:val="00B140A0"/>
    <w:rsid w:val="00B32550"/>
    <w:rsid w:val="00B81DB4"/>
    <w:rsid w:val="00B83054"/>
    <w:rsid w:val="00B924D8"/>
    <w:rsid w:val="00B9582A"/>
    <w:rsid w:val="00BD5CD1"/>
    <w:rsid w:val="00BE1142"/>
    <w:rsid w:val="00BF3220"/>
    <w:rsid w:val="00BF5620"/>
    <w:rsid w:val="00C00352"/>
    <w:rsid w:val="00C075E2"/>
    <w:rsid w:val="00C156B7"/>
    <w:rsid w:val="00C2303D"/>
    <w:rsid w:val="00C352EE"/>
    <w:rsid w:val="00CA10EE"/>
    <w:rsid w:val="00CB3F4C"/>
    <w:rsid w:val="00CB4969"/>
    <w:rsid w:val="00CD6FF7"/>
    <w:rsid w:val="00CE70FE"/>
    <w:rsid w:val="00CE766E"/>
    <w:rsid w:val="00CF3B70"/>
    <w:rsid w:val="00D13795"/>
    <w:rsid w:val="00D371D1"/>
    <w:rsid w:val="00D632F7"/>
    <w:rsid w:val="00DB0DB0"/>
    <w:rsid w:val="00E12139"/>
    <w:rsid w:val="00E40793"/>
    <w:rsid w:val="00E54F4A"/>
    <w:rsid w:val="00E70D82"/>
    <w:rsid w:val="00E71F84"/>
    <w:rsid w:val="00E90B80"/>
    <w:rsid w:val="00EC1849"/>
    <w:rsid w:val="00EE5DD5"/>
    <w:rsid w:val="00F06A0C"/>
    <w:rsid w:val="00F147DA"/>
    <w:rsid w:val="00F41AA3"/>
    <w:rsid w:val="00F41D37"/>
    <w:rsid w:val="00F54049"/>
    <w:rsid w:val="1AE020AD"/>
    <w:rsid w:val="67356465"/>
    <w:rsid w:val="793A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36"/>
      <w:jc w:val="left"/>
      <w:outlineLvl w:val="0"/>
    </w:pPr>
    <w:rPr>
      <w:rFonts w:ascii="黑体" w:hAnsi="Times New Roman" w:eastAsia="黑体" w:cs="黑体"/>
      <w:b/>
      <w:bCs/>
      <w:kern w:val="0"/>
      <w:szCs w:val="21"/>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3"/>
    <w:semiHidden/>
    <w:unhideWhenUsed/>
    <w:uiPriority w:val="99"/>
    <w:rPr>
      <w:rFonts w:ascii="宋体" w:eastAsia="宋体"/>
      <w:sz w:val="18"/>
      <w:szCs w:val="18"/>
    </w:rPr>
  </w:style>
  <w:style w:type="paragraph" w:styleId="6">
    <w:name w:val="Body Text"/>
    <w:basedOn w:val="1"/>
    <w:link w:val="20"/>
    <w:qFormat/>
    <w:uiPriority w:val="1"/>
    <w:pPr>
      <w:autoSpaceDE w:val="0"/>
      <w:autoSpaceDN w:val="0"/>
      <w:adjustRightInd w:val="0"/>
      <w:spacing w:before="37"/>
      <w:ind w:left="640"/>
      <w:jc w:val="left"/>
    </w:pPr>
    <w:rPr>
      <w:rFonts w:ascii="宋体" w:hAnsi="Times New Roman" w:eastAsia="宋体" w:cs="宋体"/>
      <w:kern w:val="0"/>
      <w:szCs w:val="21"/>
    </w:rPr>
  </w:style>
  <w:style w:type="paragraph" w:styleId="7">
    <w:name w:val="Body Text Indent"/>
    <w:basedOn w:val="1"/>
    <w:link w:val="28"/>
    <w:semiHidden/>
    <w:unhideWhenUsed/>
    <w:qFormat/>
    <w:uiPriority w:val="99"/>
    <w:pPr>
      <w:spacing w:after="120"/>
      <w:ind w:left="420" w:leftChars="200"/>
    </w:pPr>
  </w:style>
  <w:style w:type="paragraph" w:styleId="8">
    <w:name w:val="toc 3"/>
    <w:basedOn w:val="1"/>
    <w:next w:val="1"/>
    <w:unhideWhenUsed/>
    <w:qFormat/>
    <w:uiPriority w:val="39"/>
    <w:pPr>
      <w:ind w:left="840" w:leftChars="400"/>
    </w:pPr>
  </w:style>
  <w:style w:type="paragraph" w:styleId="9">
    <w:name w:val="Date"/>
    <w:basedOn w:val="1"/>
    <w:next w:val="1"/>
    <w:link w:val="29"/>
    <w:uiPriority w:val="0"/>
    <w:pPr>
      <w:adjustRightInd w:val="0"/>
      <w:spacing w:line="360" w:lineRule="atLeast"/>
      <w:textAlignment w:val="baseline"/>
    </w:pPr>
    <w:rPr>
      <w:sz w:val="28"/>
    </w:rPr>
  </w:style>
  <w:style w:type="paragraph" w:styleId="10">
    <w:name w:val="Balloon Text"/>
    <w:basedOn w:val="1"/>
    <w:link w:val="34"/>
    <w:semiHidden/>
    <w:unhideWhenUsed/>
    <w:uiPriority w:val="99"/>
    <w:rPr>
      <w:sz w:val="18"/>
      <w:szCs w:val="18"/>
    </w:rPr>
  </w:style>
  <w:style w:type="paragraph" w:styleId="11">
    <w:name w:val="footer"/>
    <w:basedOn w:val="1"/>
    <w:link w:val="19"/>
    <w:unhideWhenUsed/>
    <w:uiPriority w:val="99"/>
    <w:pPr>
      <w:tabs>
        <w:tab w:val="center" w:pos="4153"/>
        <w:tab w:val="right" w:pos="8306"/>
      </w:tabs>
      <w:snapToGrid w:val="0"/>
      <w:jc w:val="left"/>
    </w:pPr>
    <w:rPr>
      <w:sz w:val="18"/>
      <w:szCs w:val="18"/>
    </w:rPr>
  </w:style>
  <w:style w:type="paragraph" w:styleId="12">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oc 2"/>
    <w:basedOn w:val="1"/>
    <w:next w:val="1"/>
    <w:unhideWhenUsed/>
    <w:uiPriority w:val="39"/>
    <w:pPr>
      <w:ind w:left="420" w:leftChars="200"/>
    </w:pPr>
  </w:style>
  <w:style w:type="character" w:styleId="16">
    <w:name w:val="Hyperlink"/>
    <w:basedOn w:val="15"/>
    <w:unhideWhenUsed/>
    <w:uiPriority w:val="99"/>
    <w:rPr>
      <w:color w:val="0563C1" w:themeColor="hyperlink"/>
      <w:u w:val="single"/>
    </w:rPr>
  </w:style>
  <w:style w:type="character" w:customStyle="1" w:styleId="18">
    <w:name w:val="页眉 Char"/>
    <w:basedOn w:val="15"/>
    <w:link w:val="12"/>
    <w:uiPriority w:val="99"/>
    <w:rPr>
      <w:sz w:val="18"/>
      <w:szCs w:val="18"/>
    </w:rPr>
  </w:style>
  <w:style w:type="character" w:customStyle="1" w:styleId="19">
    <w:name w:val="页脚 Char"/>
    <w:basedOn w:val="15"/>
    <w:link w:val="11"/>
    <w:uiPriority w:val="99"/>
    <w:rPr>
      <w:sz w:val="18"/>
      <w:szCs w:val="18"/>
    </w:rPr>
  </w:style>
  <w:style w:type="character" w:customStyle="1" w:styleId="20">
    <w:name w:val="正文文本 Char"/>
    <w:basedOn w:val="15"/>
    <w:link w:val="6"/>
    <w:uiPriority w:val="99"/>
    <w:rPr>
      <w:rFonts w:ascii="宋体" w:hAnsi="Times New Roman" w:eastAsia="宋体" w:cs="宋体"/>
      <w:kern w:val="0"/>
      <w:szCs w:val="21"/>
    </w:rPr>
  </w:style>
  <w:style w:type="character" w:customStyle="1" w:styleId="21">
    <w:name w:val="标题 1 Char"/>
    <w:basedOn w:val="15"/>
    <w:link w:val="2"/>
    <w:qFormat/>
    <w:uiPriority w:val="1"/>
    <w:rPr>
      <w:rFonts w:ascii="黑体" w:hAnsi="Times New Roman" w:eastAsia="黑体" w:cs="黑体"/>
      <w:b/>
      <w:bCs/>
      <w:kern w:val="0"/>
      <w:szCs w:val="21"/>
    </w:rPr>
  </w:style>
  <w:style w:type="paragraph" w:styleId="22">
    <w:name w:val="List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4">
    <w:name w:val="TOC Heading"/>
    <w:basedOn w:val="2"/>
    <w:next w:val="1"/>
    <w:unhideWhenUsed/>
    <w:qFormat/>
    <w:uiPriority w:val="39"/>
    <w:pPr>
      <w:keepNext/>
      <w:keepLines/>
      <w:widowControl/>
      <w:autoSpaceDE/>
      <w:autoSpaceDN/>
      <w:adjustRightInd/>
      <w:spacing w:before="240" w:line="259" w:lineRule="auto"/>
      <w:outlineLvl w:val="9"/>
    </w:pPr>
    <w:rPr>
      <w:rFonts w:asciiTheme="majorHAnsi" w:hAnsiTheme="majorHAnsi" w:eastAsiaTheme="majorEastAsia" w:cstheme="majorBidi"/>
      <w:b w:val="0"/>
      <w:bCs w:val="0"/>
      <w:color w:val="2E75B5" w:themeColor="accent1" w:themeShade="BF"/>
      <w:sz w:val="32"/>
      <w:szCs w:val="32"/>
    </w:rPr>
  </w:style>
  <w:style w:type="character" w:customStyle="1" w:styleId="25">
    <w:name w:val="无间距字符"/>
    <w:link w:val="26"/>
    <w:uiPriority w:val="0"/>
    <w:rPr>
      <w:rFonts w:eastAsia="Times New Roman"/>
      <w:sz w:val="22"/>
    </w:rPr>
  </w:style>
  <w:style w:type="paragraph" w:customStyle="1" w:styleId="26">
    <w:name w:val="无间距"/>
    <w:link w:val="25"/>
    <w:uiPriority w:val="0"/>
    <w:rPr>
      <w:rFonts w:eastAsia="Times New Roman" w:asciiTheme="minorHAnsi" w:hAnsiTheme="minorHAnsi" w:cstheme="minorBidi"/>
      <w:kern w:val="2"/>
      <w:sz w:val="22"/>
      <w:szCs w:val="22"/>
      <w:lang w:val="en-US" w:eastAsia="zh-CN" w:bidi="ar-SA"/>
    </w:rPr>
  </w:style>
  <w:style w:type="character" w:customStyle="1" w:styleId="27">
    <w:name w:val="标题 2 Char"/>
    <w:basedOn w:val="15"/>
    <w:link w:val="3"/>
    <w:uiPriority w:val="9"/>
    <w:rPr>
      <w:rFonts w:asciiTheme="majorHAnsi" w:hAnsiTheme="majorHAnsi" w:eastAsiaTheme="majorEastAsia" w:cstheme="majorBidi"/>
      <w:b/>
      <w:bCs/>
      <w:sz w:val="32"/>
      <w:szCs w:val="32"/>
    </w:rPr>
  </w:style>
  <w:style w:type="character" w:customStyle="1" w:styleId="28">
    <w:name w:val="正文文本缩进 Char"/>
    <w:basedOn w:val="15"/>
    <w:link w:val="7"/>
    <w:semiHidden/>
    <w:uiPriority w:val="99"/>
  </w:style>
  <w:style w:type="character" w:customStyle="1" w:styleId="29">
    <w:name w:val="日期 Char"/>
    <w:basedOn w:val="15"/>
    <w:link w:val="9"/>
    <w:uiPriority w:val="0"/>
    <w:rPr>
      <w:sz w:val="28"/>
    </w:rPr>
  </w:style>
  <w:style w:type="character" w:customStyle="1" w:styleId="30">
    <w:name w:val="日期 Char1"/>
    <w:basedOn w:val="15"/>
    <w:semiHidden/>
    <w:uiPriority w:val="99"/>
  </w:style>
  <w:style w:type="character" w:customStyle="1" w:styleId="31">
    <w:name w:val="样式3 Char"/>
    <w:link w:val="32"/>
    <w:uiPriority w:val="0"/>
    <w:rPr>
      <w:rFonts w:ascii="Arial" w:hAnsi="Arial" w:eastAsia="黑体"/>
      <w:sz w:val="28"/>
    </w:rPr>
  </w:style>
  <w:style w:type="paragraph" w:customStyle="1" w:styleId="32">
    <w:name w:val="样式3"/>
    <w:basedOn w:val="1"/>
    <w:link w:val="31"/>
    <w:uiPriority w:val="0"/>
    <w:pPr>
      <w:adjustRightInd w:val="0"/>
      <w:spacing w:before="330" w:after="160" w:line="490" w:lineRule="exact"/>
    </w:pPr>
    <w:rPr>
      <w:rFonts w:ascii="Arial" w:hAnsi="Arial" w:eastAsia="黑体"/>
      <w:sz w:val="28"/>
    </w:rPr>
  </w:style>
  <w:style w:type="character" w:customStyle="1" w:styleId="33">
    <w:name w:val="文档结构图 Char"/>
    <w:basedOn w:val="15"/>
    <w:link w:val="5"/>
    <w:semiHidden/>
    <w:uiPriority w:val="99"/>
    <w:rPr>
      <w:rFonts w:ascii="宋体" w:eastAsia="宋体"/>
      <w:sz w:val="18"/>
      <w:szCs w:val="18"/>
    </w:rPr>
  </w:style>
  <w:style w:type="character" w:customStyle="1" w:styleId="34">
    <w:name w:val="批注框文本 Char"/>
    <w:basedOn w:val="15"/>
    <w:link w:val="10"/>
    <w:semiHidden/>
    <w:uiPriority w:val="99"/>
    <w:rPr>
      <w:sz w:val="18"/>
      <w:szCs w:val="18"/>
    </w:rPr>
  </w:style>
  <w:style w:type="character" w:customStyle="1" w:styleId="35">
    <w:name w:val="标题 3 Char"/>
    <w:basedOn w:val="15"/>
    <w:link w:val="4"/>
    <w:semiHidden/>
    <w:uiPriority w:val="9"/>
    <w:rPr>
      <w:b/>
      <w:bCs/>
      <w:sz w:val="32"/>
      <w:szCs w:val="32"/>
    </w:rPr>
  </w:style>
  <w:style w:type="paragraph" w:customStyle="1" w:styleId="36">
    <w:name w:val="首行缩进"/>
    <w:basedOn w:val="1"/>
    <w:uiPriority w:val="0"/>
    <w:pPr>
      <w:spacing w:line="300" w:lineRule="auto"/>
      <w:ind w:firstLine="420" w:firstLineChars="200"/>
    </w:pPr>
    <w:rPr>
      <w:rFonts w:ascii="Times New Roman" w:hAnsi="Times New Roman" w:eastAsia="方正书宋简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2E1C4-6CD1-4931-BFBB-36F927C6FA2D}">
  <ds:schemaRefs/>
</ds:datastoreItem>
</file>

<file path=docProps/app.xml><?xml version="1.0" encoding="utf-8"?>
<Properties xmlns="http://schemas.openxmlformats.org/officeDocument/2006/extended-properties" xmlns:vt="http://schemas.openxmlformats.org/officeDocument/2006/docPropsVTypes">
  <Template>Normal.dotm</Template>
  <Company>抗日</Company>
  <Pages>12</Pages>
  <Words>1119</Words>
  <Characters>6381</Characters>
  <Lines>53</Lines>
  <Paragraphs>14</Paragraphs>
  <TotalTime>1</TotalTime>
  <ScaleCrop>false</ScaleCrop>
  <LinksUpToDate>false</LinksUpToDate>
  <CharactersWithSpaces>7486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2019-06-08T06:08:00Z</dcterms:created>
  <dc:creator>韩 瑞</dc:creator>
  <cp:lastModifiedBy>Administrator</cp:lastModifiedBy>
  <dcterms:modified xsi:type="dcterms:W3CDTF">2019-06-14T07:32:53Z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